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Ind w:w="-223" w:type="dxa"/>
        <w:tblW w:w="0" w:type="auto"/>
        <w:tblCellMar>
          <w:left w:w="0" w:type="dxa"/>
          <w:right w:w="0" w:type="dxa"/>
        </w:tblCellMar>
        <w:tblBorders/>
        <w:tblLayout w:type="fixed"/>
        <w:tblLook w:val="04A0" w:firstRow="1" w:lastRow="0" w:firstColumn="1" w:lastColumn="0" w:noHBand="0" w:noVBand="1"/>
      </w:tblPr>
      <w:tblGrid>
        <w:gridCol w:w="9775"/>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775" w:type="dxa"/>
            <w:textDirection w:val="lrTb"/>
            <w:noWrap w:val="false"/>
          </w:tcPr>
          <w:p w14:paraId="387E0567" w14:textId="77777777">
            <w:pPr>
              <w:pBdr/>
              <w:spacing/>
              <w:ind/>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55A2105E" w14:textId="77777777">
                  <w:pPr>
                    <w:pBdr/>
                    <w:spacing/>
                    <w:ind/>
                    <w:jc w:val="center"/>
                    <w:rPr>
                      <w:rFonts w:ascii="Arial" w:cs="Arial"/>
                      <w:b/>
                      <w:sz w:val="24"/>
                      <w:szCs w:val="24"/>
                    </w:rPr>
                  </w:pPr>
                  <w:r>
                    <w:rPr>
                      <w:rFonts w:ascii="Arial" w:cs="Arial"/>
                      <w:b/>
                      <w:sz w:val="24"/>
                      <w:szCs w:val="24"/>
                    </w:rPr>
                  </w:r>
                  <w:r>
                    <w:rPr>
                      <w:rFonts w:ascii="Arial" w:cs="Arial"/>
                      <w:b/>
                      <w:sz w:val="24"/>
                      <w:szCs w:val="24"/>
                    </w:rPr>
                  </w:r>
                </w:p>
                <w:p w14:paraId="455AB8B8" w14:textId="417BB9E3">
                  <w:pPr>
                    <w:pBdr/>
                    <w:spacing/>
                    <w:ind/>
                    <w:jc w:val="center"/>
                    <w:rPr/>
                  </w:pPr>
                  <w:r>
                    <w:rPr>
                      <w:rFonts w:ascii="Arial" w:hAnsi="Arial" w:cs="Arial"/>
                      <w:b/>
                      <w:sz w:val="24"/>
                      <w:szCs w:val="24"/>
                    </w:rPr>
                    <w:t xml:space="preserve">PREGÃO ELETRÔNICO N.º </w:t>
                  </w:r>
                  <w:r>
                    <w:rPr>
                      <w:rFonts w:ascii="Arial" w:hAnsi="Arial" w:cs="Arial"/>
                      <w:b/>
                      <w:sz w:val="24"/>
                      <w:szCs w:val="24"/>
                    </w:rPr>
                    <w:t xml:space="preserve">14</w:t>
                  </w:r>
                  <w:r>
                    <w:rPr>
                      <w:rFonts w:ascii="Arial" w:hAnsi="Arial" w:cs="Arial"/>
                      <w:b/>
                      <w:sz w:val="24"/>
                      <w:szCs w:val="24"/>
                    </w:rPr>
                    <w:t xml:space="preserve">/202</w:t>
                  </w:r>
                  <w:r>
                    <w:rPr>
                      <w:rFonts w:ascii="Arial" w:hAnsi="Arial" w:cs="Arial"/>
                      <w:b/>
                      <w:sz w:val="24"/>
                      <w:szCs w:val="24"/>
                    </w:rPr>
                    <w:t xml:space="preserve">6</w:t>
                  </w:r>
                  <w:r/>
                </w:p>
                <w:p w14:paraId="446D4B20" w14:textId="3E176C93">
                  <w:pPr>
                    <w:pBdr/>
                    <w:spacing/>
                    <w:ind/>
                    <w:jc w:val="center"/>
                    <w:rPr/>
                  </w:pPr>
                  <w:r>
                    <w:rPr>
                      <w:rFonts w:ascii="Arial" w:hAnsi="Arial" w:cs="Arial"/>
                      <w:b/>
                      <w:sz w:val="24"/>
                      <w:szCs w:val="24"/>
                    </w:rPr>
                    <w:t xml:space="preserve">Processo n.º </w:t>
                  </w:r>
                  <w:r>
                    <w:rPr>
                      <w:rFonts w:ascii="Arial" w:hAnsi="Arial" w:cs="Arial"/>
                      <w:b/>
                      <w:sz w:val="24"/>
                      <w:szCs w:val="24"/>
                    </w:rPr>
                    <w:t xml:space="preserve">85/202</w:t>
                  </w:r>
                  <w:r>
                    <w:rPr>
                      <w:rFonts w:ascii="Arial" w:hAnsi="Arial" w:cs="Arial"/>
                      <w:b/>
                      <w:sz w:val="24"/>
                      <w:szCs w:val="24"/>
                    </w:rPr>
                    <w:t xml:space="preserve">6</w:t>
                  </w:r>
                  <w:r/>
                </w:p>
              </w:tc>
            </w:tr>
          </w:tbl>
          <w:p w14:paraId="708D3FDF" w14:textId="77777777">
            <w:pPr>
              <w:pBdr/>
              <w:spacing/>
              <w:ind/>
              <w:jc w:val="both"/>
              <w:rPr>
                <w:rFonts w:ascii="Arial" w:cs="Arial"/>
                <w:sz w:val="24"/>
                <w:szCs w:val="24"/>
              </w:rPr>
            </w:pPr>
            <w:r>
              <w:rPr>
                <w:rFonts w:ascii="Arial" w:cs="Arial"/>
                <w:sz w:val="24"/>
                <w:szCs w:val="24"/>
              </w:rPr>
            </w:r>
            <w:r>
              <w:rPr>
                <w:rFonts w:ascii="Arial" w:cs="Arial"/>
                <w:sz w:val="24"/>
                <w:szCs w:val="24"/>
              </w:rPr>
            </w:r>
          </w:p>
        </w:tc>
      </w:tr>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775" w:type="dxa"/>
            <w:textDirection w:val="lrTb"/>
            <w:noWrap w:val="false"/>
          </w:tcPr>
          <w:p w14:paraId="03942475" w14:textId="77777777">
            <w:pPr>
              <w:pBdr/>
              <w:spacing/>
              <w:ind/>
              <w:jc w:val="both"/>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654748C9" w14:textId="23881CBB">
                  <w:pPr>
                    <w:pBdr/>
                    <w:spacing/>
                    <w:ind/>
                    <w:jc w:val="both"/>
                    <w:rPr/>
                  </w:pPr>
                  <w:r>
                    <w:rPr>
                      <w:rFonts w:ascii="Arial" w:hAnsi="Arial" w:cs="Arial"/>
                      <w:color w:val="000000"/>
                      <w:sz w:val="22"/>
                      <w:szCs w:val="22"/>
                    </w:rPr>
                    <w:t xml:space="preserve">O Presente </w:t>
                  </w:r>
                  <w:r>
                    <w:rPr>
                      <w:rFonts w:ascii="Arial" w:hAnsi="Arial" w:cs="Arial"/>
                      <w:b/>
                      <w:i/>
                    </w:rPr>
                    <w:t xml:space="preserve">Registro de Preços para futura e eventual contratação de empresa especializada na prestação de serviços de administração, gerenciamento e operacionalização de cartões </w:t>
                  </w:r>
                  <w:r>
                    <w:rPr>
                      <w:rFonts w:ascii="Arial" w:hAnsi="Arial" w:cs="Arial"/>
                      <w:b/>
                      <w:i/>
                    </w:rPr>
                    <w:t xml:space="preserve">magnéticos ou eletrônicos com tecnologia apropriada, destinados ao processamento, disponibilização e controle de créditos eletrônicos, bem como ao credenciamento, gestão e manutenção de rede de fornecedores aptos ao fornecimento dos itens vinculados ao Ben</w:t>
                  </w:r>
                  <w:r>
                    <w:rPr>
                      <w:rFonts w:ascii="Arial" w:hAnsi="Arial" w:cs="Arial"/>
                      <w:b/>
                      <w:i/>
                    </w:rPr>
                    <w:t xml:space="preserve">efício Eventual  Auxílio Natalidade, a ser concedido às famílias em situação de vulnerabilidade social atendidas pela Secretaria Municipal de Promoção e Assistência Social, conforme condições, especificações e quantitativos estabelecidos neste instrumento.</w:t>
                  </w:r>
                  <w:r/>
                </w:p>
              </w:tc>
            </w:tr>
          </w:tbl>
          <w:p w14:paraId="39BBF272" w14:textId="77777777">
            <w:pPr>
              <w:pBdr/>
              <w:spacing/>
              <w:ind/>
              <w:jc w:val="both"/>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7A50D01C" w14:textId="77777777">
                  <w:pPr>
                    <w:pBdr/>
                    <w:spacing/>
                    <w:ind/>
                    <w:jc w:val="center"/>
                    <w:rPr>
                      <w:rFonts w:ascii="Arial" w:cs="Arial"/>
                      <w:sz w:val="24"/>
                      <w:szCs w:val="24"/>
                    </w:rPr>
                  </w:pPr>
                  <w:r>
                    <w:rPr>
                      <w:rFonts w:ascii="Arial" w:cs="Arial"/>
                      <w:sz w:val="24"/>
                      <w:szCs w:val="24"/>
                    </w:rPr>
                  </w:r>
                  <w:r>
                    <w:rPr>
                      <w:rFonts w:ascii="Arial" w:cs="Arial"/>
                      <w:sz w:val="24"/>
                      <w:szCs w:val="24"/>
                    </w:rPr>
                  </w:r>
                </w:p>
                <w:p w14:paraId="094CB411" w14:textId="77777777">
                  <w:pPr>
                    <w:pBdr/>
                    <w:spacing/>
                    <w:ind/>
                    <w:jc w:val="center"/>
                    <w:rPr/>
                  </w:pPr>
                  <w:r>
                    <w:rPr>
                      <w:rFonts w:ascii="Arial" w:hAnsi="Arial" w:cs="Arial"/>
                      <w:sz w:val="24"/>
                      <w:szCs w:val="24"/>
                    </w:rPr>
                    <w:t xml:space="preserve">SESSÃO PÚBLICA PARA RECEBIMENTO DAS PROPOSTAS E DOCUMENTOS PARA HABILITAÇÃO</w:t>
                  </w:r>
                  <w:r/>
                </w:p>
                <w:p w14:paraId="5EA4A73F" w14:textId="7CA48F8A">
                  <w:pPr>
                    <w:pBdr/>
                    <w:spacing/>
                    <w:ind/>
                    <w:jc w:val="center"/>
                    <w:rPr/>
                  </w:pPr>
                  <w:r>
                    <w:rPr>
                      <w:rFonts w:ascii="Arial" w:hAnsi="Arial" w:cs="Arial"/>
                      <w:color w:val="ff0000"/>
                      <w:highlight w:val="yellow"/>
                    </w:rPr>
                    <w:t xml:space="preserve">VALOR TOTAL ESTIMADO </w:t>
                  </w:r>
                  <w:r>
                    <w:rPr>
                      <w:rFonts w:ascii="Arial" w:hAnsi="Arial" w:cs="Arial"/>
                      <w:color w:val="ff0000"/>
                      <w:highlight w:val="yellow"/>
                    </w:rPr>
                    <w:t xml:space="preserve">2.317.500,00 (dois milhões, trezentos e dezessete mil e quinhentos reais)</w:t>
                  </w:r>
                  <w:r>
                    <w:rPr>
                      <w:rFonts w:ascii="Arial" w:hAnsi="Arial" w:cs="Arial"/>
                      <w:color w:val="ff0000"/>
                      <w:highlight w:val="yellow"/>
                    </w:rPr>
                    <w:t xml:space="preserve">, considerando a Taxa de Administração em </w:t>
                  </w:r>
                  <w:r>
                    <w:rPr>
                      <w:rFonts w:ascii="Arial" w:hAnsi="Arial" w:cs="Arial"/>
                      <w:color w:val="ff0000"/>
                      <w:highlight w:val="yellow"/>
                    </w:rPr>
                    <w:t xml:space="preserve">3</w:t>
                  </w:r>
                  <w:r>
                    <w:rPr>
                      <w:rFonts w:ascii="Arial" w:hAnsi="Arial" w:cs="Arial"/>
                      <w:color w:val="ff0000"/>
                      <w:highlight w:val="yellow"/>
                    </w:rPr>
                    <w:t xml:space="preserve">%</w:t>
                  </w:r>
                  <w:r>
                    <w:rPr>
                      <w:rFonts w:ascii="Arial" w:cs="Arial"/>
                      <w:color w:val="ff0000"/>
                      <w:highlight w:val="yellow"/>
                    </w:rPr>
                    <w:t xml:space="preserve">.</w:t>
                  </w:r>
                  <w:r/>
                </w:p>
                <w:p w14:paraId="6DB10921" w14:textId="77777777">
                  <w:pPr>
                    <w:pBdr/>
                    <w:spacing/>
                    <w:ind/>
                    <w:rPr>
                      <w:rFonts w:ascii="Arial" w:cs="Arial"/>
                      <w:sz w:val="24"/>
                      <w:szCs w:val="24"/>
                    </w:rPr>
                  </w:pPr>
                  <w:r>
                    <w:rPr>
                      <w:rFonts w:ascii="Arial" w:cs="Arial"/>
                      <w:sz w:val="24"/>
                      <w:szCs w:val="24"/>
                    </w:rPr>
                  </w:r>
                  <w:r>
                    <w:rPr>
                      <w:rFonts w:ascii="Arial" w:cs="Arial"/>
                      <w:sz w:val="24"/>
                      <w:szCs w:val="24"/>
                    </w:rPr>
                  </w:r>
                </w:p>
                <w:p w14:paraId="3BB830BF" w14:textId="77777777">
                  <w:pPr>
                    <w:pBdr/>
                    <w:spacing/>
                    <w:ind/>
                    <w:jc w:val="center"/>
                    <w:rPr>
                      <w:rFonts w:ascii="Arial" w:cs="Arial"/>
                      <w:sz w:val="24"/>
                      <w:szCs w:val="24"/>
                    </w:rPr>
                  </w:pPr>
                  <w:r>
                    <w:rPr>
                      <w:rFonts w:ascii="Arial" w:cs="Arial"/>
                      <w:sz w:val="24"/>
                      <w:szCs w:val="24"/>
                    </w:rPr>
                  </w:r>
                  <w:r>
                    <w:rPr>
                      <w:rFonts w:ascii="Arial" w:cs="Arial"/>
                      <w:sz w:val="24"/>
                      <w:szCs w:val="24"/>
                    </w:rPr>
                  </w:r>
                </w:p>
              </w:tc>
            </w:tr>
          </w:tbl>
          <w:p w14:paraId="51215C9F" w14:textId="77777777">
            <w:pPr>
              <w:pBdr/>
              <w:spacing/>
              <w:ind/>
              <w:jc w:val="both"/>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07EB1003" w14:textId="77777777">
                  <w:pPr>
                    <w:pBdr/>
                    <w:spacing/>
                    <w:ind/>
                    <w:jc w:val="both"/>
                    <w:rPr>
                      <w:rFonts w:ascii="Arial" w:cs="Arial"/>
                      <w:sz w:val="24"/>
                      <w:szCs w:val="24"/>
                    </w:rPr>
                  </w:pPr>
                  <w:r>
                    <w:rPr>
                      <w:rFonts w:ascii="Arial" w:cs="Arial"/>
                      <w:sz w:val="24"/>
                      <w:szCs w:val="24"/>
                    </w:rPr>
                  </w:r>
                  <w:r>
                    <w:rPr>
                      <w:rFonts w:ascii="Arial" w:cs="Arial"/>
                      <w:sz w:val="24"/>
                      <w:szCs w:val="24"/>
                    </w:rPr>
                  </w:r>
                </w:p>
                <w:p w14:paraId="5FD20B2B" w14:textId="77777777">
                  <w:pPr>
                    <w:pBdr/>
                    <w:spacing/>
                    <w:ind/>
                    <w:jc w:val="both"/>
                    <w:rPr/>
                  </w:pPr>
                  <w:r>
                    <w:rPr>
                      <w:rFonts w:ascii="Arial" w:hAnsi="Arial" w:cs="Arial"/>
                      <w:sz w:val="24"/>
                      <w:szCs w:val="24"/>
                    </w:rPr>
                    <w:t xml:space="preserve">Local: </w:t>
                  </w:r>
                  <w:hyperlink r:id="rId12" w:tooltip="http://www.bllcompras.org.br" w:history="1">
                    <w:r>
                      <w:rPr>
                        <w:rFonts w:ascii="Arial" w:hAnsi="Arial" w:cs="Arial"/>
                        <w:b/>
                        <w:color w:val="0000ff"/>
                        <w:sz w:val="24"/>
                        <w:szCs w:val="24"/>
                        <w:u w:val="single"/>
                      </w:rPr>
                      <w:t xml:space="preserve">bllcompras.com</w:t>
                    </w:r>
                  </w:hyperlink>
                  <w:r/>
                  <w:r/>
                </w:p>
                <w:p w14:paraId="180366C9" w14:textId="77777777">
                  <w:pPr>
                    <w:pBdr/>
                    <w:spacing/>
                    <w:ind/>
                    <w:jc w:val="both"/>
                    <w:rPr>
                      <w:rFonts w:ascii="Arial" w:cs="Arial"/>
                      <w:sz w:val="24"/>
                      <w:szCs w:val="24"/>
                    </w:rPr>
                  </w:pPr>
                  <w:r>
                    <w:rPr>
                      <w:rFonts w:ascii="Arial" w:cs="Arial"/>
                      <w:sz w:val="24"/>
                      <w:szCs w:val="24"/>
                    </w:rPr>
                  </w:r>
                  <w:r>
                    <w:rPr>
                      <w:rFonts w:ascii="Arial" w:cs="Arial"/>
                      <w:sz w:val="24"/>
                      <w:szCs w:val="24"/>
                    </w:rPr>
                  </w:r>
                </w:p>
              </w:tc>
            </w:tr>
          </w:tbl>
          <w:p w14:paraId="4E657C31" w14:textId="77777777">
            <w:pPr>
              <w:pBdr/>
              <w:spacing/>
              <w:ind/>
              <w:jc w:val="both"/>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265A4C8D" w14:textId="77777777">
                  <w:pPr>
                    <w:pBdr/>
                    <w:spacing/>
                    <w:ind/>
                    <w:jc w:val="both"/>
                    <w:rPr>
                      <w:rFonts w:ascii="Arial" w:cs="Arial"/>
                      <w:sz w:val="24"/>
                      <w:szCs w:val="24"/>
                    </w:rPr>
                  </w:pPr>
                  <w:r>
                    <w:rPr>
                      <w:rFonts w:ascii="Arial" w:cs="Arial"/>
                      <w:sz w:val="24"/>
                      <w:szCs w:val="24"/>
                    </w:rPr>
                  </w:r>
                  <w:r>
                    <w:rPr>
                      <w:rFonts w:ascii="Arial" w:cs="Arial"/>
                      <w:sz w:val="24"/>
                      <w:szCs w:val="24"/>
                    </w:rPr>
                  </w:r>
                </w:p>
                <w:p w14:paraId="71379483" w14:textId="769B9BC6">
                  <w:pPr>
                    <w:pBdr/>
                    <w:spacing/>
                    <w:ind/>
                    <w:jc w:val="both"/>
                    <w:rPr/>
                  </w:pPr>
                  <w:r>
                    <w:rPr>
                      <w:rFonts w:ascii="Arial" w:hAnsi="Arial" w:cs="Arial"/>
                      <w:sz w:val="24"/>
                      <w:szCs w:val="24"/>
                    </w:rPr>
                    <w:t xml:space="preserve">Data da sessão: </w:t>
                  </w:r>
                  <w:r>
                    <w:rPr>
                      <w:rFonts w:ascii="Arial" w:hAnsi="Arial" w:cs="Arial"/>
                      <w:b/>
                      <w:color w:val="000000" w:themeColor="text1"/>
                      <w:sz w:val="24"/>
                      <w:szCs w:val="24"/>
                    </w:rPr>
                    <w:t xml:space="preserve">16/</w:t>
                  </w:r>
                  <w:r>
                    <w:rPr>
                      <w:rFonts w:ascii="Arial" w:hAnsi="Arial" w:cs="Arial"/>
                      <w:b/>
                      <w:color w:val="000000" w:themeColor="text1"/>
                      <w:sz w:val="24"/>
                      <w:szCs w:val="24"/>
                    </w:rPr>
                    <w:t xml:space="preserve">04/202</w:t>
                  </w:r>
                  <w:r>
                    <w:rPr>
                      <w:rFonts w:ascii="Arial" w:hAnsi="Arial" w:cs="Arial"/>
                      <w:b/>
                      <w:color w:val="000000" w:themeColor="text1"/>
                      <w:sz w:val="24"/>
                      <w:szCs w:val="24"/>
                    </w:rPr>
                    <w:t xml:space="preserve">6</w:t>
                  </w:r>
                  <w:r/>
                </w:p>
                <w:p w14:paraId="7C4956E1" w14:textId="77777777">
                  <w:pPr>
                    <w:pBdr/>
                    <w:spacing/>
                    <w:ind/>
                    <w:jc w:val="both"/>
                    <w:rPr>
                      <w:rFonts w:ascii="Arial" w:cs="Arial"/>
                      <w:sz w:val="24"/>
                      <w:szCs w:val="24"/>
                    </w:rPr>
                  </w:pPr>
                  <w:r>
                    <w:rPr>
                      <w:rFonts w:ascii="Arial" w:cs="Arial"/>
                      <w:sz w:val="24"/>
                      <w:szCs w:val="24"/>
                    </w:rPr>
                  </w:r>
                  <w:r>
                    <w:rPr>
                      <w:rFonts w:ascii="Arial" w:cs="Arial"/>
                      <w:sz w:val="24"/>
                      <w:szCs w:val="24"/>
                    </w:rPr>
                  </w:r>
                </w:p>
              </w:tc>
            </w:tr>
          </w:tbl>
          <w:p w14:paraId="4C550818" w14:textId="77777777">
            <w:pPr>
              <w:pBdr/>
              <w:spacing/>
              <w:ind/>
              <w:jc w:val="both"/>
              <w:rPr>
                <w:rFonts w:ascii="Arial" w:cs="Arial"/>
                <w:sz w:val="24"/>
                <w:szCs w:val="24"/>
              </w:rPr>
            </w:pPr>
            <w:r>
              <w:rPr>
                <w:rFonts w:ascii="Arial" w:cs="Arial"/>
                <w:sz w:val="24"/>
                <w:szCs w:val="24"/>
              </w:rPr>
            </w:r>
            <w:r>
              <w:rPr>
                <w:rFonts w:ascii="Arial" w:cs="Arial"/>
                <w:sz w:val="24"/>
                <w:szCs w:val="24"/>
              </w:rPr>
            </w:r>
          </w:p>
          <w:p w14:paraId="75245815" w14:textId="77777777">
            <w:pPr>
              <w:pBdr/>
              <w:spacing/>
              <w:ind/>
              <w:jc w:val="both"/>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0E5415E4" w14:textId="77777777">
                  <w:pPr>
                    <w:pBdr/>
                    <w:spacing/>
                    <w:ind/>
                    <w:jc w:val="both"/>
                    <w:rPr>
                      <w:rFonts w:ascii="Arial" w:cs="Arial"/>
                      <w:sz w:val="24"/>
                      <w:szCs w:val="24"/>
                    </w:rPr>
                  </w:pPr>
                  <w:r>
                    <w:rPr>
                      <w:rFonts w:ascii="Arial" w:cs="Arial"/>
                      <w:sz w:val="24"/>
                      <w:szCs w:val="24"/>
                    </w:rPr>
                  </w:r>
                  <w:r>
                    <w:rPr>
                      <w:rFonts w:ascii="Arial" w:cs="Arial"/>
                      <w:sz w:val="24"/>
                      <w:szCs w:val="24"/>
                    </w:rPr>
                  </w:r>
                </w:p>
                <w:p w14:paraId="4AD893D5" w14:textId="77777777">
                  <w:pPr>
                    <w:pBdr/>
                    <w:tabs>
                      <w:tab w:val="left" w:leader="none" w:pos="6435"/>
                    </w:tabs>
                    <w:spacing/>
                    <w:ind/>
                    <w:jc w:val="both"/>
                    <w:rPr/>
                  </w:pPr>
                  <w:r>
                    <w:rPr>
                      <w:rFonts w:ascii="Arial" w:hAnsi="Arial" w:cs="Arial"/>
                      <w:sz w:val="24"/>
                      <w:szCs w:val="24"/>
                    </w:rPr>
                    <w:t xml:space="preserve">Horário: </w:t>
                  </w:r>
                  <w:r>
                    <w:rPr>
                      <w:rFonts w:ascii="Arial" w:hAnsi="Arial" w:cs="Arial"/>
                      <w:b/>
                      <w:color w:val="000000"/>
                      <w:sz w:val="24"/>
                      <w:szCs w:val="24"/>
                    </w:rPr>
                    <w:t xml:space="preserve">09h30min – Horário de Brasília</w:t>
                  </w:r>
                  <w:r>
                    <w:rPr>
                      <w:rFonts w:ascii="Arial" w:hAnsi="Arial" w:cs="Arial"/>
                      <w:b/>
                      <w:color w:val="000000"/>
                      <w:sz w:val="24"/>
                      <w:szCs w:val="24"/>
                    </w:rPr>
                    <w:tab/>
                  </w:r>
                  <w:r/>
                </w:p>
                <w:p w14:paraId="71AC4192" w14:textId="77777777">
                  <w:pPr>
                    <w:pBdr/>
                    <w:spacing/>
                    <w:ind/>
                    <w:jc w:val="both"/>
                    <w:rPr>
                      <w:rFonts w:ascii="Arial" w:cs="Arial"/>
                      <w:sz w:val="24"/>
                      <w:szCs w:val="24"/>
                    </w:rPr>
                  </w:pPr>
                  <w:r>
                    <w:rPr>
                      <w:rFonts w:ascii="Arial" w:cs="Arial"/>
                      <w:sz w:val="24"/>
                      <w:szCs w:val="24"/>
                    </w:rPr>
                  </w:r>
                  <w:r>
                    <w:rPr>
                      <w:rFonts w:ascii="Arial" w:cs="Arial"/>
                      <w:sz w:val="24"/>
                      <w:szCs w:val="24"/>
                    </w:rPr>
                  </w:r>
                </w:p>
              </w:tc>
            </w:tr>
          </w:tbl>
          <w:p w14:paraId="0CD47FC3" w14:textId="77777777">
            <w:pPr>
              <w:pBdr/>
              <w:spacing/>
              <w:ind/>
              <w:jc w:val="both"/>
              <w:rPr>
                <w:rFonts w:ascii="Arial" w:cs="Arial"/>
                <w:sz w:val="24"/>
                <w:szCs w:val="24"/>
              </w:rPr>
            </w:pPr>
            <w:r>
              <w:rPr>
                <w:rFonts w:ascii="Arial" w:cs="Arial"/>
                <w:sz w:val="24"/>
                <w:szCs w:val="24"/>
              </w:rPr>
            </w:r>
            <w:r>
              <w:rPr>
                <w:rFonts w:ascii="Arial" w:cs="Arial"/>
                <w:sz w:val="24"/>
                <w:szCs w:val="24"/>
              </w:rPr>
            </w:r>
          </w:p>
          <w:p w14:paraId="4F36026D" w14:textId="77777777">
            <w:pPr>
              <w:pBdr/>
              <w:spacing/>
              <w:ind/>
              <w:jc w:val="both"/>
              <w:rPr>
                <w:rFonts w:ascii="Arial" w:cs="Arial"/>
                <w:sz w:val="24"/>
                <w:szCs w:val="24"/>
              </w:rPr>
            </w:pPr>
            <w:r>
              <w:rPr>
                <w:rFonts w:ascii="Arial" w:cs="Arial"/>
                <w:sz w:val="24"/>
                <w:szCs w:val="24"/>
              </w:rPr>
            </w:r>
            <w:r>
              <w:rPr>
                <w:rFonts w:ascii="Arial" w:cs="Arial"/>
                <w:sz w:val="24"/>
                <w:szCs w:val="24"/>
              </w:rPr>
            </w:r>
          </w:p>
          <w:tbl>
            <w:tblPr>
              <w:tblInd w:w="59" w:type="dxa"/>
              <w:tblW w:w="0" w:type="auto"/>
              <w:tblCellMar>
                <w:left w:w="0" w:type="dxa"/>
                <w:right w:w="0" w:type="dxa"/>
              </w:tblCellMar>
              <w:tblBorders/>
              <w:tblLayout w:type="fixed"/>
              <w:tblLook w:val="04A0" w:firstRow="1" w:lastRow="0" w:firstColumn="1" w:lastColumn="0" w:noHBand="0" w:noVBand="1"/>
            </w:tblPr>
            <w:tblGrid>
              <w:gridCol w:w="9559"/>
            </w:tblGrid>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9559" w:type="dxa"/>
                  <w:textDirection w:val="lrTb"/>
                  <w:noWrap w:val="false"/>
                </w:tcPr>
                <w:p w14:paraId="6607FE57" w14:textId="77777777">
                  <w:pPr>
                    <w:pBdr/>
                    <w:spacing/>
                    <w:ind/>
                    <w:jc w:val="both"/>
                    <w:rPr>
                      <w:rFonts w:ascii="Arial" w:cs="Arial"/>
                      <w:sz w:val="24"/>
                      <w:szCs w:val="24"/>
                    </w:rPr>
                  </w:pPr>
                  <w:r>
                    <w:rPr>
                      <w:rFonts w:ascii="Arial" w:cs="Arial"/>
                      <w:sz w:val="24"/>
                      <w:szCs w:val="24"/>
                    </w:rPr>
                  </w:r>
                  <w:r>
                    <w:rPr>
                      <w:rFonts w:ascii="Arial" w:cs="Arial"/>
                      <w:sz w:val="24"/>
                      <w:szCs w:val="24"/>
                    </w:rPr>
                  </w:r>
                </w:p>
                <w:p w14:paraId="5BB53B47" w14:textId="77777777">
                  <w:pPr>
                    <w:pBdr/>
                    <w:spacing/>
                    <w:ind/>
                    <w:jc w:val="center"/>
                    <w:rPr/>
                  </w:pPr>
                  <w:r>
                    <w:rPr>
                      <w:rFonts w:ascii="Arial" w:hAnsi="Arial" w:cs="Arial"/>
                      <w:b/>
                      <w:sz w:val="24"/>
                      <w:szCs w:val="24"/>
                    </w:rPr>
                    <w:t xml:space="preserve">CONTATO</w:t>
                  </w:r>
                  <w:r/>
                </w:p>
                <w:p w14:paraId="52AFED4E" w14:textId="77777777">
                  <w:pPr>
                    <w:pBdr/>
                    <w:spacing/>
                    <w:ind/>
                    <w:jc w:val="center"/>
                    <w:rPr/>
                  </w:pPr>
                  <w:r>
                    <w:rPr>
                      <w:rFonts w:ascii="Arial" w:hAnsi="Arial" w:cs="Arial"/>
                      <w:b/>
                      <w:sz w:val="24"/>
                      <w:szCs w:val="24"/>
                    </w:rPr>
                    <w:t xml:space="preserve">(66) 3411 5734</w:t>
                  </w:r>
                  <w:r/>
                </w:p>
                <w:p w14:paraId="422FB35C" w14:textId="77777777">
                  <w:pPr>
                    <w:pBdr/>
                    <w:spacing/>
                    <w:ind/>
                    <w:jc w:val="center"/>
                    <w:rPr/>
                  </w:pPr>
                  <w:r/>
                  <w:hyperlink r:id="rId13" w:tooltip="mailto:pmrroo@hotmail.com" w:history="1">
                    <w:r>
                      <w:rPr>
                        <w:rFonts w:ascii="Arial" w:hAnsi="Arial" w:cs="Arial"/>
                        <w:color w:val="0000ff"/>
                        <w:sz w:val="24"/>
                        <w:szCs w:val="24"/>
                        <w:u w:val="single"/>
                      </w:rPr>
                      <w:t xml:space="preserve">pmrroo@hotmail.com</w:t>
                    </w:r>
                  </w:hyperlink>
                  <w:r/>
                  <w:r/>
                </w:p>
                <w:p w14:paraId="3B00AB16" w14:textId="77777777">
                  <w:pPr>
                    <w:pBdr/>
                    <w:spacing/>
                    <w:ind/>
                    <w:jc w:val="both"/>
                    <w:rPr>
                      <w:rFonts w:ascii="Arial" w:cs="Arial"/>
                      <w:sz w:val="24"/>
                      <w:szCs w:val="24"/>
                    </w:rPr>
                  </w:pPr>
                  <w:r>
                    <w:rPr>
                      <w:rFonts w:ascii="Arial" w:cs="Arial"/>
                      <w:sz w:val="24"/>
                      <w:szCs w:val="24"/>
                    </w:rPr>
                  </w:r>
                  <w:r>
                    <w:rPr>
                      <w:rFonts w:ascii="Arial" w:cs="Arial"/>
                      <w:sz w:val="24"/>
                      <w:szCs w:val="24"/>
                    </w:rPr>
                  </w:r>
                </w:p>
              </w:tc>
            </w:tr>
          </w:tbl>
          <w:p w14:paraId="3B113F47" w14:textId="77777777">
            <w:pPr>
              <w:pBdr/>
              <w:spacing/>
              <w:ind/>
              <w:jc w:val="both"/>
              <w:rPr>
                <w:rFonts w:ascii="Arial" w:cs="Arial"/>
                <w:sz w:val="24"/>
                <w:szCs w:val="24"/>
              </w:rPr>
            </w:pPr>
            <w:r>
              <w:rPr>
                <w:rFonts w:ascii="Arial" w:cs="Arial"/>
                <w:sz w:val="24"/>
                <w:szCs w:val="24"/>
              </w:rPr>
            </w:r>
            <w:r>
              <w:rPr>
                <w:rFonts w:ascii="Arial" w:cs="Arial"/>
                <w:sz w:val="24"/>
                <w:szCs w:val="24"/>
              </w:rPr>
            </w:r>
          </w:p>
          <w:p w14:paraId="1FB55924" w14:textId="77777777">
            <w:pPr>
              <w:pBdr/>
              <w:spacing/>
              <w:ind/>
              <w:jc w:val="both"/>
              <w:rPr>
                <w:rFonts w:ascii="Arial" w:cs="Arial"/>
                <w:sz w:val="24"/>
                <w:szCs w:val="24"/>
              </w:rPr>
            </w:pPr>
            <w:r>
              <w:rPr>
                <w:rFonts w:ascii="Arial" w:cs="Arial"/>
                <w:sz w:val="24"/>
                <w:szCs w:val="24"/>
              </w:rPr>
            </w:r>
            <w:r>
              <w:rPr>
                <w:rFonts w:ascii="Arial" w:cs="Arial"/>
                <w:sz w:val="24"/>
                <w:szCs w:val="24"/>
              </w:rPr>
            </w:r>
          </w:p>
        </w:tc>
      </w:tr>
    </w:tbl>
    <w:p w14:paraId="52F1A901" w14:textId="77777777">
      <w:pPr>
        <w:pBdr/>
        <w:tabs>
          <w:tab w:val="left" w:leader="none" w:pos="6060"/>
        </w:tabs>
        <w:spacing/>
        <w:ind/>
        <w:rPr/>
      </w:pPr>
      <w:r>
        <w:rPr>
          <w:rFonts w:ascii="Arial" w:cs="Arial"/>
        </w:rPr>
        <w:tab/>
      </w:r>
      <w:r/>
    </w:p>
    <w:p w14:paraId="1BED5A7D" w14:textId="77777777">
      <w:pPr>
        <w:pStyle w:val="873"/>
        <w:pageBreakBefore w:val="true"/>
        <w:pBdr/>
        <w:spacing/>
        <w:ind/>
        <w:rPr/>
      </w:pPr>
      <w:r/>
      <w:bookmarkStart w:id="0" w:name="_Toc16803"/>
      <w:r/>
      <w:bookmarkStart w:id="1" w:name="_Toc190764788"/>
      <w:r>
        <w:rPr>
          <w:sz w:val="20"/>
          <w:lang w:val="pt-BR"/>
        </w:rPr>
        <w:t xml:space="preserve">1. PREÂMBULO:</w:t>
      </w:r>
      <w:bookmarkEnd w:id="0"/>
      <w:r/>
      <w:bookmarkEnd w:id="1"/>
      <w:r/>
      <w:r/>
    </w:p>
    <w:p w14:paraId="7BB5400E" w14:textId="77777777">
      <w:pPr>
        <w:pStyle w:val="873"/>
        <w:pBdr/>
        <w:spacing w:after="0" w:before="0"/>
        <w:ind/>
        <w:rPr>
          <w:sz w:val="20"/>
          <w:lang w:val="pt-BR"/>
        </w:rPr>
      </w:pPr>
      <w:r>
        <w:rPr>
          <w:sz w:val="20"/>
          <w:lang w:val="pt-BR"/>
        </w:rPr>
      </w:r>
      <w:r>
        <w:rPr>
          <w:sz w:val="20"/>
          <w:lang w:val="pt-BR"/>
        </w:rPr>
      </w:r>
    </w:p>
    <w:p w14:paraId="73674056" w14:textId="7A544DFB">
      <w:pPr>
        <w:numPr>
          <w:ilvl w:val="1"/>
          <w:numId w:val="1"/>
        </w:numPr>
        <w:pBdr/>
        <w:spacing/>
        <w:ind/>
        <w:jc w:val="both"/>
        <w:rPr/>
      </w:pPr>
      <w:r/>
      <w:bookmarkStart w:id="2" w:name="_Toc190332623"/>
      <w:r/>
      <w:bookmarkStart w:id="3" w:name="_Toc190764541"/>
      <w:r/>
      <w:bookmarkStart w:id="4" w:name="_Toc190700043"/>
      <w:r/>
      <w:bookmarkStart w:id="5" w:name="_Toc190764789"/>
      <w:r/>
      <w:bookmarkStart w:id="6" w:name="_Toc190764818"/>
      <w:r>
        <w:rPr>
          <w:rFonts w:ascii="Arial" w:hAnsi="Arial" w:cs="Arial"/>
          <w:b/>
        </w:rPr>
        <w:t xml:space="preserve">EDITAL DE LICITAÇÃO: PREGÃO ELETRÔNICO N.º </w:t>
      </w:r>
      <w:r>
        <w:rPr>
          <w:rFonts w:ascii="Arial" w:hAnsi="Arial" w:cs="Arial"/>
          <w:b/>
        </w:rPr>
        <w:t xml:space="preserve">14</w:t>
      </w:r>
      <w:r>
        <w:rPr>
          <w:rFonts w:ascii="Arial" w:hAnsi="Arial" w:cs="Arial"/>
          <w:b/>
        </w:rPr>
        <w:t xml:space="preserve">/202</w:t>
      </w:r>
      <w:r>
        <w:rPr>
          <w:rFonts w:ascii="Arial" w:hAnsi="Arial" w:cs="Arial"/>
          <w:b/>
        </w:rPr>
        <w:t xml:space="preserve">6</w:t>
      </w:r>
      <w:r>
        <w:rPr>
          <w:rFonts w:ascii="Arial" w:hAnsi="Arial" w:cs="Arial"/>
          <w:b/>
        </w:rPr>
        <w:t xml:space="preserve">, PROCESSO Nº </w:t>
      </w:r>
      <w:r>
        <w:rPr>
          <w:rFonts w:ascii="Arial" w:hAnsi="Arial" w:cs="Arial"/>
          <w:b/>
        </w:rPr>
        <w:t xml:space="preserve">xx</w:t>
      </w:r>
      <w:r>
        <w:rPr>
          <w:rFonts w:ascii="Arial" w:hAnsi="Arial" w:cs="Arial"/>
          <w:b/>
        </w:rPr>
        <w:t xml:space="preserve">/202</w:t>
      </w:r>
      <w:r>
        <w:rPr>
          <w:rFonts w:ascii="Arial" w:hAnsi="Arial" w:cs="Arial"/>
          <w:b/>
        </w:rPr>
        <w:t xml:space="preserve">6</w:t>
      </w:r>
      <w:r>
        <w:rPr>
          <w:rFonts w:ascii="Arial" w:hAnsi="Arial" w:cs="Arial"/>
          <w:b/>
        </w:rPr>
        <w:t xml:space="preserve">.</w:t>
      </w:r>
      <w:bookmarkEnd w:id="2"/>
      <w:r/>
      <w:bookmarkEnd w:id="3"/>
      <w:r/>
      <w:bookmarkEnd w:id="4"/>
      <w:r/>
      <w:bookmarkEnd w:id="5"/>
      <w:r/>
      <w:bookmarkEnd w:id="6"/>
      <w:r/>
      <w:r/>
    </w:p>
    <w:p w14:paraId="5B1C08C5" w14:textId="77777777">
      <w:pPr>
        <w:pBdr/>
        <w:spacing/>
        <w:ind/>
        <w:jc w:val="both"/>
        <w:rPr>
          <w:rFonts w:ascii="Arial" w:cs="Arial"/>
          <w:b/>
        </w:rPr>
      </w:pPr>
      <w:r>
        <w:rPr>
          <w:rFonts w:ascii="Arial" w:cs="Arial"/>
          <w:b/>
        </w:rPr>
      </w:r>
      <w:r>
        <w:rPr>
          <w:rFonts w:ascii="Arial" w:cs="Arial"/>
          <w:b/>
        </w:rPr>
      </w:r>
    </w:p>
    <w:p w14:paraId="5D894C33" w14:textId="77777777">
      <w:pPr>
        <w:pBdr/>
        <w:spacing/>
        <w:ind/>
        <w:jc w:val="both"/>
        <w:rPr/>
      </w:pPr>
      <w:r/>
      <w:bookmarkStart w:id="7" w:name="_Toc190764542"/>
      <w:r/>
      <w:bookmarkStart w:id="8" w:name="_Toc190764790"/>
      <w:r/>
      <w:bookmarkStart w:id="9" w:name="_Toc190700044"/>
      <w:r/>
      <w:bookmarkStart w:id="10" w:name="_Toc190332624"/>
      <w:r/>
      <w:bookmarkStart w:id="11" w:name="_Toc190764819"/>
      <w:r>
        <w:rPr>
          <w:rFonts w:ascii="Arial" w:hAnsi="Arial" w:cs="Arial"/>
          <w:b/>
        </w:rPr>
        <w:t xml:space="preserve">1.2. CRITÉRIO DE JULGAMENTO DA LICITAÇÃO</w:t>
      </w:r>
      <w:r>
        <w:rPr>
          <w:rFonts w:ascii="Arial" w:hAnsi="Arial" w:cs="Arial"/>
        </w:rPr>
        <w:t xml:space="preserve">:</w:t>
      </w:r>
      <w:bookmarkEnd w:id="7"/>
      <w:r/>
      <w:bookmarkEnd w:id="8"/>
      <w:r/>
      <w:bookmarkEnd w:id="9"/>
      <w:r/>
      <w:bookmarkEnd w:id="10"/>
      <w:r/>
      <w:bookmarkEnd w:id="11"/>
      <w:r>
        <w:rPr>
          <w:rFonts w:ascii="Arial" w:hAnsi="Arial" w:cs="Arial"/>
        </w:rPr>
        <w:t xml:space="preserve"> </w:t>
      </w:r>
      <w:r/>
    </w:p>
    <w:p w14:paraId="773D2A2C" w14:textId="77777777">
      <w:pPr>
        <w:pBdr/>
        <w:spacing/>
        <w:ind w:right="99" w:left="284"/>
        <w:jc w:val="both"/>
        <w:rPr>
          <w:rFonts w:ascii="Arial" w:cs="Arial"/>
          <w:b/>
        </w:rPr>
      </w:pPr>
      <w:r>
        <w:rPr>
          <w:rFonts w:ascii="Arial" w:cs="Arial"/>
          <w:b/>
        </w:rPr>
      </w:r>
      <w:r>
        <w:rPr>
          <w:rFonts w:ascii="Arial" w:cs="Arial"/>
          <w:b/>
        </w:rPr>
      </w:r>
    </w:p>
    <w:p w14:paraId="0087DE89" w14:textId="7C946E45">
      <w:pPr>
        <w:pBdr/>
        <w:spacing/>
        <w:ind w:right="99" w:left="284"/>
        <w:jc w:val="both"/>
        <w:rPr/>
      </w:pPr>
      <w:r>
        <w:rPr>
          <w:rFonts w:ascii="Arial" w:hAnsi="Arial" w:cs="Arial"/>
          <w:b/>
        </w:rPr>
        <w:t xml:space="preserve">1.2.1. Menor Preço / Menor Taxa aplicado sobre a média dos preços levantados pela equipe d</w:t>
      </w:r>
      <w:r>
        <w:rPr>
          <w:rFonts w:ascii="Arial" w:hAnsi="Arial" w:cs="Arial"/>
          <w:b/>
        </w:rPr>
        <w:t xml:space="preserve">a secretaria de promoção e assistência social</w:t>
      </w:r>
      <w:r>
        <w:rPr>
          <w:rFonts w:ascii="Arial" w:hAnsi="Arial" w:cs="Arial"/>
          <w:b/>
        </w:rPr>
        <w:t xml:space="preserve">.</w:t>
      </w:r>
      <w:r/>
    </w:p>
    <w:p w14:paraId="7770EDAE" w14:textId="77777777">
      <w:pPr>
        <w:pBdr/>
        <w:spacing/>
        <w:ind w:right="99" w:left="284"/>
        <w:jc w:val="both"/>
        <w:rPr>
          <w:rFonts w:ascii="Arial" w:cs="Arial"/>
          <w:b/>
        </w:rPr>
      </w:pPr>
      <w:r>
        <w:rPr>
          <w:rFonts w:ascii="Arial" w:cs="Arial"/>
          <w:b/>
        </w:rPr>
      </w:r>
      <w:r>
        <w:rPr>
          <w:rFonts w:ascii="Arial" w:cs="Arial"/>
          <w:b/>
        </w:rPr>
      </w:r>
    </w:p>
    <w:p w14:paraId="425B2A18" w14:textId="3B205ADB">
      <w:pPr>
        <w:pBdr/>
        <w:spacing/>
        <w:ind/>
        <w:jc w:val="both"/>
        <w:rPr/>
      </w:pPr>
      <w:r>
        <w:rPr>
          <w:rFonts w:ascii="Arial" w:hAnsi="Arial" w:cs="Arial"/>
          <w:b/>
        </w:rPr>
        <w:t xml:space="preserve">1.3. Data</w:t>
      </w:r>
      <w:r>
        <w:rPr>
          <w:rFonts w:ascii="Arial" w:hAnsi="Arial" w:cs="Arial"/>
          <w:b/>
          <w:color w:val="000000" w:themeColor="text1"/>
        </w:rPr>
        <w:t xml:space="preserve">:</w:t>
      </w:r>
      <w:r>
        <w:rPr>
          <w:rFonts w:ascii="Arial" w:hAnsi="Arial" w:cs="Arial"/>
          <w:color w:val="000000" w:themeColor="text1"/>
        </w:rPr>
        <w:t xml:space="preserve"> </w:t>
      </w:r>
      <w:r>
        <w:rPr>
          <w:rFonts w:ascii="Arial" w:hAnsi="Arial" w:cs="Arial"/>
          <w:b/>
          <w:color w:val="000000" w:themeColor="text1"/>
        </w:rPr>
        <w:t xml:space="preserve">16/</w:t>
      </w:r>
      <w:r>
        <w:rPr>
          <w:rFonts w:ascii="Arial" w:hAnsi="Arial" w:cs="Arial"/>
          <w:b/>
          <w:color w:val="000000" w:themeColor="text1"/>
        </w:rPr>
        <w:t xml:space="preserve">04/202</w:t>
      </w:r>
      <w:r>
        <w:rPr>
          <w:rFonts w:ascii="Arial" w:hAnsi="Arial" w:cs="Arial"/>
          <w:b/>
          <w:color w:val="000000" w:themeColor="text1"/>
        </w:rPr>
        <w:t xml:space="preserve">6</w:t>
      </w:r>
      <w:r>
        <w:rPr>
          <w:rFonts w:ascii="Arial" w:cs="Arial"/>
          <w:b/>
          <w:color w:val="000000"/>
        </w:rPr>
        <w:t xml:space="preserve">,</w:t>
      </w:r>
      <w:r>
        <w:rPr>
          <w:rFonts w:ascii="Arial" w:hAnsi="Arial" w:cs="Arial"/>
          <w:b/>
        </w:rPr>
        <w:t xml:space="preserve"> Horário Brasília: </w:t>
      </w:r>
      <w:r>
        <w:rPr>
          <w:rFonts w:ascii="Arial" w:hAnsi="Arial" w:cs="Arial"/>
          <w:b/>
          <w:color w:val="000000"/>
        </w:rPr>
        <w:t xml:space="preserve">09:30hs</w:t>
      </w:r>
      <w:r>
        <w:rPr>
          <w:rFonts w:ascii="Arial" w:hAnsi="Arial" w:cs="Arial"/>
          <w:b/>
        </w:rPr>
        <w:t xml:space="preserve">, </w:t>
      </w:r>
      <w:r>
        <w:rPr>
          <w:rFonts w:ascii="Arial" w:hAnsi="Arial" w:cs="Arial"/>
        </w:rPr>
        <w:t xml:space="preserve">Endereço:</w:t>
      </w:r>
      <w:r>
        <w:rPr>
          <w:rFonts w:ascii="Arial" w:hAnsi="Arial" w:cs="Arial"/>
          <w:b/>
        </w:rPr>
        <w:t xml:space="preserve"> Prefeitura Municipal de Rondonópolis </w:t>
      </w:r>
      <w:r>
        <w:rPr>
          <w:rFonts w:ascii="Arial" w:cs="Arial"/>
        </w:rPr>
        <w:t xml:space="preserve">-</w:t>
      </w:r>
      <w:r>
        <w:rPr>
          <w:rFonts w:ascii="Arial" w:hAnsi="Arial" w:cs="Arial"/>
          <w:b/>
        </w:rPr>
        <w:t xml:space="preserve"> </w:t>
      </w:r>
      <w:r>
        <w:rPr>
          <w:rFonts w:ascii="Arial" w:hAnsi="Arial" w:cs="Arial"/>
        </w:rPr>
        <w:t xml:space="preserve">Estado de Mato Grosso</w:t>
      </w:r>
      <w:r>
        <w:rPr>
          <w:rFonts w:ascii="Arial" w:hAnsi="Arial" w:cs="Arial"/>
          <w:b/>
        </w:rPr>
        <w:t xml:space="preserve">, </w:t>
      </w:r>
      <w:r>
        <w:rPr>
          <w:rFonts w:ascii="Arial" w:hAnsi="Arial" w:cs="Arial"/>
        </w:rPr>
        <w:t xml:space="preserve">Avenida Duque de Caxias n.º 1.000, Cep.: 78.740-022, Bairro: Vila Aurora -</w:t>
      </w:r>
      <w:r>
        <w:rPr>
          <w:rFonts w:ascii="Arial" w:hAnsi="Arial" w:cs="Arial"/>
          <w:b/>
        </w:rPr>
        <w:t xml:space="preserve"> Sala de Licitações – PISO SUPERIOR.</w:t>
      </w:r>
      <w:r/>
    </w:p>
    <w:p w14:paraId="3E6A9FBA" w14:textId="77777777">
      <w:pPr>
        <w:pBdr/>
        <w:spacing/>
        <w:ind w:left="284"/>
        <w:jc w:val="both"/>
        <w:rPr>
          <w:rFonts w:ascii="Arial" w:cs="Arial"/>
          <w:b/>
        </w:rPr>
      </w:pPr>
      <w:r>
        <w:rPr>
          <w:rFonts w:ascii="Arial" w:cs="Arial"/>
          <w:b/>
        </w:rPr>
      </w:r>
      <w:r>
        <w:rPr>
          <w:rFonts w:ascii="Arial" w:cs="Arial"/>
          <w:b/>
        </w:rPr>
      </w:r>
    </w:p>
    <w:p w14:paraId="1B7E8794" w14:textId="77777777">
      <w:pPr>
        <w:pBdr/>
        <w:spacing/>
        <w:ind/>
        <w:jc w:val="both"/>
        <w:rPr/>
      </w:pPr>
      <w:r>
        <w:rPr>
          <w:rFonts w:ascii="Arial" w:hAnsi="Arial" w:cs="Arial"/>
          <w:b/>
        </w:rPr>
        <w:t xml:space="preserve">1.4.</w:t>
      </w:r>
      <w:r>
        <w:rPr>
          <w:rFonts w:ascii="Arial" w:hAnsi="Arial" w:cs="Arial"/>
        </w:rPr>
        <w:t xml:space="preserve"> O Pregão Eletr</w:t>
      </w:r>
      <w:r>
        <w:rPr>
          <w:rFonts w:ascii="Arial" w:hAnsi="Arial" w:cs="Arial"/>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cs="Arial"/>
          <w:b/>
        </w:rPr>
        <w:t xml:space="preserve">Pregoeiro</w:t>
      </w:r>
      <w:r>
        <w:rPr>
          <w:rFonts w:ascii="Arial" w:hAnsi="Arial" w:cs="Arial"/>
        </w:rPr>
        <w:t xml:space="preserve">, mediante a inserção e monitoramento de dados gerados ou transferidos para o aplicativo, constante da página eletrônica da </w:t>
      </w:r>
      <w:r>
        <w:rPr>
          <w:rFonts w:ascii="Arial" w:hAnsi="Arial" w:cs="Arial"/>
          <w:b/>
        </w:rPr>
        <w:t xml:space="preserve">BLL– Bolsa de Licitações e Leilões: </w:t>
      </w:r>
      <w:hyperlink r:id="rId14" w:tooltip="http://www.bllcompras.org.br" w:history="1">
        <w:r>
          <w:rPr>
            <w:rFonts w:ascii="Arial" w:hAnsi="Arial" w:cs="Arial"/>
            <w:b/>
            <w:color w:val="000000"/>
            <w:u w:val="single"/>
          </w:rPr>
          <w:t xml:space="preserve">bllcompras.com</w:t>
        </w:r>
      </w:hyperlink>
      <w:r>
        <w:rPr>
          <w:rFonts w:ascii="Arial" w:hAnsi="Arial" w:cs="Arial"/>
        </w:rPr>
        <w:t xml:space="preserve">. </w:t>
      </w:r>
      <w:r/>
    </w:p>
    <w:p w14:paraId="6023E68C" w14:textId="77777777">
      <w:pPr>
        <w:pBdr/>
        <w:spacing/>
        <w:ind w:left="284"/>
        <w:jc w:val="both"/>
        <w:rPr>
          <w:rFonts w:ascii="Arial" w:cs="Arial"/>
        </w:rPr>
      </w:pPr>
      <w:r>
        <w:rPr>
          <w:rFonts w:ascii="Arial" w:cs="Arial"/>
        </w:rPr>
      </w:r>
      <w:r>
        <w:rPr>
          <w:rFonts w:ascii="Arial" w:cs="Arial"/>
        </w:rPr>
      </w:r>
    </w:p>
    <w:p w14:paraId="5C506206" w14:textId="35F0EF1C">
      <w:pPr>
        <w:pBdr/>
        <w:spacing/>
        <w:ind/>
        <w:jc w:val="both"/>
        <w:rPr/>
      </w:pPr>
      <w:r>
        <w:rPr>
          <w:rFonts w:ascii="Arial" w:hAnsi="Arial" w:cs="Arial"/>
          <w:b/>
        </w:rPr>
        <w:t xml:space="preserve">1.5.</w:t>
      </w:r>
      <w:r>
        <w:rPr>
          <w:rFonts w:ascii="Arial" w:hAnsi="Arial" w:cs="Arial"/>
        </w:rPr>
        <w:t xml:space="preserve"> O número da Licitação no </w:t>
      </w:r>
      <w:r>
        <w:rPr>
          <w:rFonts w:ascii="Arial" w:hAnsi="Arial" w:cs="Arial"/>
          <w:b/>
        </w:rPr>
        <w:t xml:space="preserve">site da BLL é Pregão Eletrônico n.º </w:t>
      </w:r>
      <w:r>
        <w:rPr>
          <w:rFonts w:ascii="Arial" w:hAnsi="Arial" w:cs="Arial"/>
          <w:b/>
        </w:rPr>
        <w:t xml:space="preserve">14</w:t>
      </w:r>
      <w:r>
        <w:rPr>
          <w:rFonts w:ascii="Arial" w:hAnsi="Arial" w:cs="Arial"/>
          <w:b/>
        </w:rPr>
        <w:t xml:space="preserve">/202</w:t>
      </w:r>
      <w:r>
        <w:rPr>
          <w:rFonts w:ascii="Arial" w:hAnsi="Arial" w:cs="Arial"/>
          <w:b/>
        </w:rPr>
        <w:t xml:space="preserve">6</w:t>
      </w:r>
      <w:r>
        <w:rPr>
          <w:rFonts w:ascii="Arial" w:hAnsi="Arial" w:cs="Arial"/>
          <w:b/>
        </w:rPr>
        <w:t xml:space="preserve"> e Processo n.º </w:t>
      </w:r>
      <w:r>
        <w:rPr>
          <w:rFonts w:ascii="Arial" w:hAnsi="Arial" w:cs="Arial"/>
          <w:b/>
        </w:rPr>
        <w:t xml:space="preserve">xx</w:t>
      </w:r>
      <w:r>
        <w:rPr>
          <w:rFonts w:ascii="Arial" w:hAnsi="Arial" w:cs="Arial"/>
          <w:b/>
        </w:rPr>
        <w:t xml:space="preserve">/202</w:t>
      </w:r>
      <w:r>
        <w:rPr>
          <w:rFonts w:ascii="Arial" w:hAnsi="Arial" w:cs="Arial"/>
          <w:b/>
        </w:rPr>
        <w:t xml:space="preserve">6</w:t>
      </w:r>
      <w:r>
        <w:rPr>
          <w:rFonts w:ascii="Arial" w:hAnsi="Arial" w:cs="Arial"/>
        </w:rPr>
        <w:t xml:space="preserve"> e nome utilizado é </w:t>
      </w:r>
      <w:r>
        <w:rPr>
          <w:rFonts w:ascii="Arial" w:hAnsi="Arial" w:cs="Arial"/>
          <w:b/>
        </w:rPr>
        <w:t xml:space="preserve">Prefeitura Municipal de Rondonópolis – MT.</w:t>
      </w:r>
      <w:r/>
    </w:p>
    <w:p w14:paraId="12CD5FDE" w14:textId="77777777">
      <w:pPr>
        <w:pBdr/>
        <w:spacing/>
        <w:ind w:right="99"/>
        <w:jc w:val="both"/>
        <w:rPr>
          <w:rFonts w:ascii="Arial" w:cs="Arial"/>
          <w:b/>
        </w:rPr>
      </w:pPr>
      <w:r>
        <w:rPr>
          <w:rFonts w:ascii="Arial" w:cs="Arial"/>
          <w:b/>
        </w:rPr>
      </w:r>
      <w:r>
        <w:rPr>
          <w:rFonts w:ascii="Arial" w:cs="Arial"/>
          <w:b/>
        </w:rPr>
      </w:r>
    </w:p>
    <w:p w14:paraId="6BE37966" w14:textId="77777777">
      <w:pPr>
        <w:pBdr/>
        <w:spacing/>
        <w:ind w:right="99"/>
        <w:jc w:val="both"/>
        <w:rPr/>
      </w:pPr>
      <w:r>
        <w:rPr>
          <w:rFonts w:ascii="Arial" w:hAnsi="Arial" w:cs="Arial"/>
          <w:b/>
        </w:rPr>
        <w:t xml:space="preserve">1.6. FUNDAMENTO LEGAL: </w:t>
      </w:r>
      <w:r>
        <w:rPr>
          <w:rFonts w:ascii="Arial" w:hAnsi="Arial" w:cs="Arial"/>
        </w:rPr>
        <w:t xml:space="preserve">O Município de Rondonópolis, Estado de Mato Grosso, mediante ao (a) Pregoeiro (a) e Equipe de Apoio, designada pela Portaria nº 40.019 de 22 de setembro de 2025 torna público para conhecimento dos interessados que esta licitação é regida </w:t>
      </w:r>
      <w:r>
        <w:rPr>
          <w:rFonts w:ascii="Arial" w:hAnsi="Arial" w:cs="Arial"/>
          <w:color w:val="000000"/>
        </w:rPr>
        <w:t xml:space="preserve">nos termos da </w:t>
      </w:r>
      <w:r>
        <w:rPr>
          <w:rFonts w:ascii="Arial" w:hAnsi="Arial" w:cs="Arial"/>
          <w:b/>
        </w:rPr>
        <w:t xml:space="preserve">Lei nº 14.133, de 1º de abril de 2021, Decreto nº 11.462, de 31 de março de 2023</w:t>
      </w:r>
      <w:r>
        <w:rPr>
          <w:rFonts w:ascii="Arial" w:hAnsi="Arial" w:cs="Arial"/>
        </w:rPr>
        <w:t xml:space="preserve"> e </w:t>
      </w:r>
      <w:r>
        <w:rPr>
          <w:rFonts w:ascii="Arial" w:hAnsi="Arial" w:cs="Arial"/>
          <w:b/>
        </w:rPr>
        <w:t xml:space="preserve">Decreto nº 11.685, de 18 de setembro de 2023</w:t>
      </w:r>
      <w:r>
        <w:rPr>
          <w:rFonts w:ascii="Arial" w:hAnsi="Arial" w:cs="Arial"/>
        </w:rPr>
        <w:t xml:space="preserve">, e demais legislação aplicável e, ainda, de acordo com as condições estabelecidas neste Edital.</w:t>
      </w:r>
      <w:r/>
    </w:p>
    <w:p w14:paraId="10B52F46" w14:textId="77777777">
      <w:pPr>
        <w:pBdr/>
        <w:spacing/>
        <w:ind/>
        <w:jc w:val="both"/>
        <w:rPr>
          <w:rFonts w:ascii="Arial" w:cs="Arial"/>
        </w:rPr>
      </w:pPr>
      <w:r>
        <w:rPr>
          <w:rFonts w:ascii="Arial" w:cs="Arial"/>
        </w:rPr>
      </w:r>
      <w:r>
        <w:rPr>
          <w:rFonts w:ascii="Arial" w:cs="Arial"/>
        </w:rPr>
      </w:r>
    </w:p>
    <w:p w14:paraId="11E35597" w14:textId="77777777">
      <w:pPr>
        <w:pStyle w:val="873"/>
        <w:pBdr/>
        <w:spacing w:after="0" w:before="0"/>
        <w:ind/>
        <w:rPr>
          <w:lang w:val="pt-BR"/>
        </w:rPr>
      </w:pPr>
      <w:r/>
      <w:bookmarkStart w:id="12" w:name="_Toc190764791"/>
      <w:r/>
      <w:bookmarkStart w:id="13" w:name="_Toc25338"/>
      <w:r>
        <w:rPr>
          <w:sz w:val="20"/>
          <w:lang w:val="pt-BR"/>
        </w:rPr>
        <w:t xml:space="preserve">2. DO OBJETO:</w:t>
      </w:r>
      <w:bookmarkEnd w:id="12"/>
      <w:r/>
      <w:bookmarkEnd w:id="13"/>
      <w:r/>
      <w:r>
        <w:rPr>
          <w:lang w:val="pt-BR"/>
        </w:rPr>
      </w:r>
    </w:p>
    <w:p w14:paraId="59574E6E" w14:textId="77777777">
      <w:pPr>
        <w:pBdr/>
        <w:spacing/>
        <w:ind/>
        <w:rPr>
          <w:rFonts w:ascii="Arial" w:cs="Arial"/>
        </w:rPr>
      </w:pPr>
      <w:r>
        <w:rPr>
          <w:rFonts w:ascii="Arial" w:cs="Arial"/>
        </w:rPr>
      </w:r>
      <w:r>
        <w:rPr>
          <w:rFonts w:ascii="Arial" w:cs="Arial"/>
        </w:rPr>
      </w:r>
    </w:p>
    <w:p w14:paraId="0568C43B" w14:textId="7E264E56">
      <w:pPr>
        <w:pBdr/>
        <w:spacing/>
        <w:ind/>
        <w:jc w:val="both"/>
        <w:rPr/>
      </w:pPr>
      <w:r>
        <w:rPr>
          <w:rFonts w:ascii="Arial" w:hAnsi="Arial" w:cs="Arial"/>
          <w:b/>
        </w:rPr>
        <w:t xml:space="preserve">2.1.</w:t>
      </w:r>
      <w:r>
        <w:rPr>
          <w:rFonts w:ascii="Arial" w:hAnsi="Arial" w:cs="Arial"/>
        </w:rPr>
        <w:t xml:space="preserve"> O objeto da presente licitação é </w:t>
      </w:r>
      <w:r>
        <w:rPr>
          <w:rFonts w:ascii="Arial" w:hAnsi="Arial" w:cs="Arial"/>
          <w:b/>
          <w:i/>
        </w:rPr>
        <w:t xml:space="preserve">Registro de Preços para futura e eventual contratação de empresa especializada na prestação de serviços de administração, gerenciamento e operacionalização de cartões </w:t>
      </w:r>
      <w:r>
        <w:rPr>
          <w:rFonts w:ascii="Arial" w:hAnsi="Arial" w:cs="Arial"/>
          <w:b/>
          <w:i/>
        </w:rPr>
        <w:t xml:space="preserve">magnéticos ou eletrônicos com tecnologia apropriada, destinados ao processamento, disponibilização e controle de créditos eletrônicos, bem como ao credenciamento, gestão e manutenção de rede de fornecedores aptos ao fornecimento dos itens vinculados ao Ben</w:t>
      </w:r>
      <w:r>
        <w:rPr>
          <w:rFonts w:ascii="Arial" w:hAnsi="Arial" w:cs="Arial"/>
          <w:b/>
          <w:i/>
        </w:rPr>
        <w:t xml:space="preserve">efício Eventual  Auxílio Natalidade, a ser concedido às famílias em situação de vulnerabilidade social atendidas pela Secretaria Municipal de Promoção e Assistência Social, conforme condições, especificações e quantitativos estabelecidos neste instrumento.</w:t>
      </w:r>
      <w:r>
        <w:rPr>
          <w:rFonts w:ascii="Arial" w:hAnsi="Arial" w:cs="Arial"/>
          <w:b/>
          <w:i/>
        </w:rPr>
        <w:t xml:space="preserve"> </w:t>
      </w:r>
      <w:r/>
    </w:p>
    <w:p w14:paraId="1F3CBEFD" w14:textId="77777777">
      <w:pPr>
        <w:pBdr/>
        <w:spacing/>
        <w:ind/>
        <w:jc w:val="both"/>
        <w:rPr>
          <w:rFonts w:ascii="Arial" w:cs="Arial"/>
        </w:rPr>
      </w:pPr>
      <w:r>
        <w:rPr>
          <w:rFonts w:ascii="Arial" w:cs="Arial"/>
        </w:rPr>
      </w:r>
      <w:r>
        <w:rPr>
          <w:rFonts w:ascii="Arial" w:cs="Arial"/>
        </w:rPr>
      </w:r>
    </w:p>
    <w:p w14:paraId="7877A22F" w14:textId="77777777">
      <w:pPr>
        <w:pStyle w:val="873"/>
        <w:pBdr/>
        <w:spacing w:after="0" w:before="0"/>
        <w:ind/>
        <w:rPr>
          <w:lang w:val="pt-BR"/>
        </w:rPr>
      </w:pPr>
      <w:r/>
      <w:bookmarkStart w:id="14" w:name="_Toc190764792"/>
      <w:r/>
      <w:bookmarkStart w:id="15" w:name="_Toc30336"/>
      <w:r>
        <w:rPr>
          <w:sz w:val="20"/>
          <w:lang w:val="pt-BR"/>
        </w:rPr>
        <w:t xml:space="preserve">3. DA REFERÊNCIA DE HORÁRIO NO EDITAL:</w:t>
      </w:r>
      <w:bookmarkEnd w:id="14"/>
      <w:r/>
      <w:bookmarkEnd w:id="15"/>
      <w:r>
        <w:rPr>
          <w:sz w:val="20"/>
          <w:lang w:val="pt-BR"/>
        </w:rPr>
        <w:t xml:space="preserve"> </w:t>
      </w:r>
      <w:r>
        <w:rPr>
          <w:lang w:val="pt-BR"/>
        </w:rPr>
      </w:r>
    </w:p>
    <w:p w14:paraId="2095E0B5" w14:textId="77777777">
      <w:pPr>
        <w:pBdr/>
        <w:spacing/>
        <w:ind/>
        <w:jc w:val="both"/>
        <w:rPr>
          <w:rFonts w:ascii="Arial" w:cs="Arial"/>
        </w:rPr>
      </w:pPr>
      <w:r>
        <w:rPr>
          <w:rFonts w:ascii="Arial" w:cs="Arial"/>
        </w:rPr>
      </w:r>
      <w:r>
        <w:rPr>
          <w:rFonts w:ascii="Arial" w:cs="Arial"/>
        </w:rPr>
      </w:r>
    </w:p>
    <w:p w14:paraId="30DA4E81" w14:textId="77777777">
      <w:pPr>
        <w:pBdr/>
        <w:spacing/>
        <w:ind/>
        <w:jc w:val="both"/>
        <w:rPr/>
      </w:pPr>
      <w:r>
        <w:rPr>
          <w:rFonts w:ascii="Arial" w:hAnsi="Arial" w:cs="Arial"/>
          <w:b/>
        </w:rPr>
        <w:t xml:space="preserve">3.1.</w:t>
      </w:r>
      <w:r>
        <w:rPr>
          <w:rFonts w:ascii="Arial" w:hAnsi="Arial" w:cs="Arial"/>
        </w:rPr>
        <w:t xml:space="preserve"> Todas as referências de horário no Edital, no Aviso e durante a Sessão Pública observarão obrigatoriamente o </w:t>
      </w:r>
      <w:r>
        <w:rPr>
          <w:rFonts w:ascii="Arial" w:hAnsi="Arial" w:cs="Arial"/>
          <w:b/>
        </w:rPr>
        <w:t xml:space="preserve">Horário de Brasília – DF</w:t>
      </w:r>
      <w:r>
        <w:rPr>
          <w:rFonts w:ascii="Arial" w:hAnsi="Arial" w:cs="Arial"/>
        </w:rPr>
        <w:t xml:space="preserve"> e, dessa forma, serão registradas no sistema eletrônico e na documentação relativa ao certame. </w:t>
      </w:r>
      <w:r/>
    </w:p>
    <w:p w14:paraId="42028108" w14:textId="77777777">
      <w:pPr>
        <w:pBdr/>
        <w:spacing/>
        <w:ind w:left="284"/>
        <w:jc w:val="both"/>
        <w:rPr>
          <w:rFonts w:ascii="Arial" w:cs="Arial"/>
        </w:rPr>
      </w:pPr>
      <w:r>
        <w:rPr>
          <w:rFonts w:ascii="Arial" w:cs="Arial"/>
        </w:rPr>
      </w:r>
      <w:r>
        <w:rPr>
          <w:rFonts w:ascii="Arial" w:cs="Arial"/>
        </w:rPr>
      </w:r>
    </w:p>
    <w:p w14:paraId="751CE566" w14:textId="77777777">
      <w:pPr>
        <w:pStyle w:val="873"/>
        <w:pBdr/>
        <w:spacing w:after="0" w:before="0"/>
        <w:ind/>
        <w:rPr>
          <w:lang w:val="pt-BR"/>
        </w:rPr>
      </w:pPr>
      <w:r/>
      <w:bookmarkStart w:id="16" w:name="_Toc8000"/>
      <w:r/>
      <w:bookmarkStart w:id="17" w:name="_Toc190764793"/>
      <w:r>
        <w:rPr>
          <w:sz w:val="20"/>
          <w:lang w:val="pt-BR"/>
        </w:rPr>
        <w:t xml:space="preserve">4. DAS CONDIÇÕES PARA PARTICIPAÇÃO NO CERTAME:</w:t>
      </w:r>
      <w:bookmarkEnd w:id="16"/>
      <w:r/>
      <w:bookmarkEnd w:id="17"/>
      <w:r>
        <w:rPr>
          <w:sz w:val="20"/>
          <w:lang w:val="pt-BR"/>
        </w:rPr>
        <w:t xml:space="preserve"> </w:t>
      </w:r>
      <w:r>
        <w:rPr>
          <w:lang w:val="pt-BR"/>
        </w:rPr>
      </w:r>
    </w:p>
    <w:p w14:paraId="70995D8F" w14:textId="77777777">
      <w:pPr>
        <w:pBdr/>
        <w:spacing/>
        <w:ind/>
        <w:jc w:val="both"/>
        <w:rPr>
          <w:rFonts w:ascii="Arial" w:cs="Arial"/>
          <w:b/>
        </w:rPr>
      </w:pPr>
      <w:r>
        <w:rPr>
          <w:rFonts w:ascii="Arial" w:cs="Arial"/>
          <w:b/>
        </w:rPr>
      </w:r>
      <w:r>
        <w:rPr>
          <w:rFonts w:ascii="Arial" w:cs="Arial"/>
          <w:b/>
        </w:rPr>
      </w:r>
    </w:p>
    <w:p w14:paraId="46A7192E" w14:textId="77777777">
      <w:pPr>
        <w:pBdr/>
        <w:spacing/>
        <w:ind/>
        <w:jc w:val="both"/>
        <w:rPr/>
      </w:pPr>
      <w:r>
        <w:rPr>
          <w:rFonts w:ascii="Arial" w:hAnsi="Arial" w:cs="Arial"/>
          <w:b/>
        </w:rPr>
        <w:t xml:space="preserve">4.1.</w:t>
      </w:r>
      <w:r>
        <w:rPr>
          <w:rFonts w:ascii="Arial" w:hAnsi="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cs="Arial"/>
          <w:b/>
        </w:rPr>
        <w:t xml:space="preserve">bllcompras.com</w:t>
      </w:r>
      <w:r>
        <w:rPr>
          <w:rFonts w:ascii="Arial" w:hAnsi="Arial" w:cs="Arial"/>
        </w:rPr>
        <w:t xml:space="preserve"> e ou, opção "</w:t>
      </w:r>
      <w:r>
        <w:rPr>
          <w:rFonts w:ascii="Arial" w:hAnsi="Arial" w:cs="Arial"/>
          <w:b/>
        </w:rPr>
        <w:t xml:space="preserve">Acesso Identificado</w:t>
      </w:r>
      <w:r>
        <w:rPr>
          <w:rFonts w:ascii="Arial" w:hAnsi="Arial" w:cs="Arial"/>
        </w:rPr>
        <w:t xml:space="preserve">", </w:t>
      </w:r>
      <w:r>
        <w:rPr>
          <w:rFonts w:ascii="Arial" w:hAnsi="Arial" w:cs="Arial"/>
          <w:b/>
        </w:rPr>
        <w:t xml:space="preserve">observadas a data e horário limite estabelecido neste edital</w:t>
      </w:r>
      <w:r>
        <w:rPr>
          <w:rFonts w:ascii="Arial" w:cs="Arial"/>
          <w:b/>
          <w:color w:val="000000"/>
        </w:rPr>
        <w:t xml:space="preserve">.</w:t>
      </w:r>
      <w:r>
        <w:rPr>
          <w:rFonts w:ascii="Arial" w:hAnsi="Arial" w:cs="Arial"/>
          <w:color w:val="000000"/>
        </w:rPr>
        <w:t xml:space="preserve"> (Horário de Brasília).</w:t>
      </w:r>
      <w:r/>
    </w:p>
    <w:p w14:paraId="137DD8A6" w14:textId="77777777">
      <w:pPr>
        <w:pBdr/>
        <w:spacing/>
        <w:ind/>
        <w:jc w:val="both"/>
        <w:rPr>
          <w:rFonts w:ascii="Arial" w:cs="Arial"/>
          <w:b/>
        </w:rPr>
      </w:pPr>
      <w:r>
        <w:rPr>
          <w:rFonts w:ascii="Arial" w:cs="Arial"/>
          <w:b/>
        </w:rPr>
      </w:r>
      <w:r>
        <w:rPr>
          <w:rFonts w:ascii="Arial" w:cs="Arial"/>
          <w:b/>
        </w:rPr>
      </w:r>
    </w:p>
    <w:p w14:paraId="5DED1119" w14:textId="77777777">
      <w:pPr>
        <w:pBdr/>
        <w:spacing/>
        <w:ind/>
        <w:jc w:val="both"/>
        <w:rPr/>
      </w:pPr>
      <w:r>
        <w:rPr>
          <w:rFonts w:ascii="Arial" w:hAnsi="Arial" w:cs="Arial"/>
          <w:b/>
        </w:rPr>
        <w:t xml:space="preserve">4.2.</w:t>
      </w:r>
      <w:r>
        <w:rPr>
          <w:rFonts w:ascii="Arial" w:hAnsi="Arial" w:cs="Arial"/>
        </w:rPr>
        <w:t xml:space="preserve"> O licitante arcará integralmente com todos os custos de preparação e apresentação de sua proposta, independente do resultado do procedimento licitatório. </w:t>
      </w:r>
      <w:r/>
    </w:p>
    <w:p w14:paraId="6AB5E025" w14:textId="77777777">
      <w:pPr>
        <w:pBdr/>
        <w:spacing/>
        <w:ind w:left="426"/>
        <w:jc w:val="both"/>
        <w:rPr>
          <w:rFonts w:ascii="Arial" w:cs="Arial"/>
          <w:b/>
        </w:rPr>
      </w:pPr>
      <w:r>
        <w:rPr>
          <w:rFonts w:ascii="Arial" w:cs="Arial"/>
          <w:b/>
        </w:rPr>
      </w:r>
      <w:r>
        <w:rPr>
          <w:rFonts w:ascii="Arial" w:cs="Arial"/>
          <w:b/>
        </w:rPr>
      </w:r>
    </w:p>
    <w:p w14:paraId="5E64D324" w14:textId="77777777">
      <w:pPr>
        <w:pBdr/>
        <w:spacing/>
        <w:ind/>
        <w:jc w:val="both"/>
        <w:rPr/>
      </w:pPr>
      <w:r>
        <w:rPr>
          <w:rFonts w:ascii="Arial" w:hAnsi="Arial" w:cs="Arial"/>
          <w:b/>
        </w:rPr>
        <w:t xml:space="preserve">4.3.</w:t>
      </w:r>
      <w:r>
        <w:rPr>
          <w:rFonts w:ascii="Arial" w:hAnsi="Arial" w:cs="Arial"/>
        </w:rPr>
        <w:t xml:space="preserve"> Some</w:t>
      </w:r>
      <w:r>
        <w:rPr>
          <w:rFonts w:ascii="Arial" w:hAnsi="Arial" w:cs="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p>
    <w:p w14:paraId="5D04F4E7" w14:textId="77777777">
      <w:pPr>
        <w:pBdr/>
        <w:spacing/>
        <w:ind w:left="284"/>
        <w:jc w:val="both"/>
        <w:rPr>
          <w:rFonts w:ascii="Arial" w:cs="Arial"/>
        </w:rPr>
      </w:pPr>
      <w:r>
        <w:rPr>
          <w:rFonts w:ascii="Arial" w:cs="Arial"/>
        </w:rPr>
      </w:r>
      <w:r>
        <w:rPr>
          <w:rFonts w:ascii="Arial" w:cs="Arial"/>
        </w:rPr>
      </w:r>
    </w:p>
    <w:p w14:paraId="2234202E" w14:textId="77777777">
      <w:pPr>
        <w:pBdr/>
        <w:spacing/>
        <w:ind/>
        <w:jc w:val="both"/>
        <w:rPr/>
      </w:pPr>
      <w:r>
        <w:rPr>
          <w:rFonts w:ascii="Arial" w:hAnsi="Arial" w:cs="Arial"/>
          <w:b/>
        </w:rPr>
        <w:t xml:space="preserve">4.4.</w:t>
      </w:r>
      <w:r>
        <w:rPr>
          <w:rFonts w:ascii="Arial" w:hAnsi="Arial" w:cs="Arial"/>
        </w:rPr>
        <w:t xml:space="preserve"> O licitante responsabiliza-se exclusiva e formalmente pelas transações efetuadas em seu nome, assume como firmes e verdadeiras suas propostas e seus lances, inclusiv</w:t>
      </w:r>
      <w:r>
        <w:rPr>
          <w:rFonts w:ascii="Arial" w:hAnsi="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p>
    <w:p w14:paraId="44C34B85" w14:textId="77777777">
      <w:pPr>
        <w:pBdr/>
        <w:spacing/>
        <w:ind w:left="284"/>
        <w:jc w:val="both"/>
        <w:rPr>
          <w:rFonts w:ascii="Arial" w:cs="Arial"/>
        </w:rPr>
      </w:pPr>
      <w:r>
        <w:rPr>
          <w:rFonts w:ascii="Arial" w:cs="Arial"/>
        </w:rPr>
      </w:r>
      <w:r>
        <w:rPr>
          <w:rFonts w:ascii="Arial" w:cs="Arial"/>
        </w:rPr>
      </w:r>
    </w:p>
    <w:p w14:paraId="1334F9BF" w14:textId="77777777">
      <w:pPr>
        <w:pBdr/>
        <w:spacing/>
        <w:ind w:left="284"/>
        <w:jc w:val="both"/>
        <w:rPr/>
      </w:pPr>
      <w:r>
        <w:rPr>
          <w:rFonts w:ascii="Arial" w:hAnsi="Arial" w:cs="Arial"/>
          <w:b/>
        </w:rPr>
        <w:t xml:space="preserve">4.4.1.</w:t>
      </w:r>
      <w:r>
        <w:rPr>
          <w:rFonts w:ascii="Arial" w:hAnsi="Arial" w:cs="Arial"/>
        </w:rPr>
        <w:t xml:space="preserve"> Poderão participar deste certame pessoas jurídicas que explorem ramo de atividade compatível e pertinente com o</w:t>
      </w:r>
      <w:r>
        <w:rPr>
          <w:rFonts w:ascii="Arial" w:hAnsi="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p>
    <w:p w14:paraId="725DD25A" w14:textId="77777777">
      <w:pPr>
        <w:pBdr/>
        <w:spacing/>
        <w:ind w:left="284"/>
        <w:jc w:val="both"/>
        <w:rPr>
          <w:rFonts w:ascii="Arial" w:cs="Arial"/>
        </w:rPr>
      </w:pPr>
      <w:r>
        <w:rPr>
          <w:rFonts w:ascii="Arial" w:cs="Arial"/>
        </w:rPr>
      </w:r>
      <w:r>
        <w:rPr>
          <w:rFonts w:ascii="Arial" w:cs="Arial"/>
        </w:rPr>
      </w:r>
    </w:p>
    <w:p w14:paraId="145BA8DB" w14:textId="77777777">
      <w:pPr>
        <w:pBdr/>
        <w:spacing/>
        <w:ind w:left="284"/>
        <w:jc w:val="both"/>
        <w:rPr/>
      </w:pPr>
      <w:r>
        <w:rPr>
          <w:rFonts w:ascii="Arial" w:hAnsi="Arial" w:cs="Arial"/>
          <w:b/>
          <w:color w:val="000000"/>
        </w:rPr>
        <w:t xml:space="preserve">4.4.2.</w:t>
      </w:r>
      <w:r>
        <w:rPr>
          <w:rFonts w:ascii="Arial" w:hAnsi="Arial" w:cs="Arial"/>
          <w:color w:val="000000"/>
        </w:rPr>
        <w:t xml:space="preserve"> Será concedido tratamento favorecido para as microempresas e empresas de pequeno porte, para as sociedades cooperativas mencionadas no </w:t>
      </w:r>
      <w:hyperlink r:id="rId15" w:tooltip="http://www.planalto.gov.br/ccivil_03/_ato2019-2022/2021/lei/L14133.htm#art16" w:anchor="art16" w:history="1">
        <w:r>
          <w:rPr>
            <w:rFonts w:ascii="Arial" w:hAnsi="Arial" w:cs="Arial"/>
            <w:color w:val="000000"/>
            <w:u w:val="single"/>
          </w:rPr>
          <w:t xml:space="preserve">artigo 16 da Lei nº 14.133, de 2021</w:t>
        </w:r>
      </w:hyperlink>
      <w:r>
        <w:rPr>
          <w:rFonts w:ascii="Arial" w:hAnsi="Arial" w:cs="Arial"/>
          <w:color w:val="000000"/>
        </w:rPr>
        <w:t xml:space="preserve">, para o agricultor familiar, o produtor rural pessoa física e para o microempreendedor individual - MEI, nos limites previstos da </w:t>
      </w:r>
      <w:hyperlink r:id="rId16" w:tooltip="https://www.planalto.gov.br/ccivil_03/leis/lcp/lcp123.htm" w:history="1">
        <w:r>
          <w:rPr>
            <w:rFonts w:ascii="Arial" w:hAnsi="Arial" w:cs="Arial"/>
            <w:color w:val="000000"/>
            <w:u w:val="single"/>
          </w:rPr>
          <w:t xml:space="preserve">Lei Complementar nº 123, de 2006</w:t>
        </w:r>
      </w:hyperlink>
      <w:r>
        <w:rPr>
          <w:rFonts w:ascii="Arial" w:hAnsi="Arial" w:cs="Arial"/>
          <w:color w:val="000000"/>
        </w:rPr>
        <w:t xml:space="preserve"> e do Decreto n.º 8.538, de 2015.</w:t>
      </w:r>
      <w:r/>
    </w:p>
    <w:p w14:paraId="1B698B3D" w14:textId="77777777">
      <w:pPr>
        <w:pBdr/>
        <w:spacing/>
        <w:ind/>
        <w:jc w:val="both"/>
        <w:rPr>
          <w:rFonts w:ascii="Arial" w:cs="Arial"/>
        </w:rPr>
      </w:pPr>
      <w:r/>
      <w:bookmarkStart w:id="18" w:name="_Ref113883338"/>
      <w:r/>
      <w:r>
        <w:rPr>
          <w:rFonts w:ascii="Arial" w:cs="Arial"/>
        </w:rPr>
      </w:r>
    </w:p>
    <w:p w14:paraId="3B0F670C" w14:textId="77777777">
      <w:pPr>
        <w:pBdr/>
        <w:spacing/>
        <w:ind/>
        <w:jc w:val="both"/>
        <w:rPr/>
      </w:pPr>
      <w:r>
        <w:rPr>
          <w:rFonts w:ascii="Arial" w:hAnsi="Arial" w:cs="Arial"/>
          <w:b/>
          <w:color w:val="000000"/>
        </w:rPr>
        <w:t xml:space="preserve">4.5.</w:t>
      </w:r>
      <w:r>
        <w:rPr>
          <w:rFonts w:ascii="Arial" w:hAnsi="Arial" w:cs="Arial"/>
          <w:color w:val="000000"/>
        </w:rPr>
        <w:t xml:space="preserve"> </w:t>
      </w:r>
      <w:r>
        <w:rPr>
          <w:rFonts w:ascii="Arial" w:hAnsi="Arial" w:cs="Arial"/>
          <w:b/>
          <w:color w:val="000000"/>
        </w:rPr>
        <w:t xml:space="preserve">NÃO PODERÃO DISPUTAR ESTA LICITAÇÃO:</w:t>
      </w:r>
      <w:bookmarkStart w:id="19" w:name="_Ref117000692"/>
      <w:r/>
      <w:bookmarkEnd w:id="18"/>
      <w:r/>
      <w:bookmarkEnd w:id="19"/>
      <w:r/>
    </w:p>
    <w:p w14:paraId="58F10090" w14:textId="77777777">
      <w:pPr>
        <w:pBdr/>
        <w:spacing w:after="160" w:before="160"/>
        <w:ind w:left="284"/>
        <w:jc w:val="both"/>
        <w:rPr/>
      </w:pPr>
      <w:r>
        <w:rPr>
          <w:rFonts w:ascii="Arial" w:hAnsi="Arial" w:cs="Arial"/>
          <w:b/>
        </w:rPr>
        <w:t xml:space="preserve">4.5.1</w:t>
      </w:r>
      <w:r>
        <w:rPr>
          <w:rFonts w:ascii="Arial" w:hAnsi="Arial" w:cs="Arial"/>
        </w:rPr>
        <w:t xml:space="preserve">. Aquele que não atenda às condições deste Edital e seu(s) anexo(s);</w:t>
      </w:r>
      <w:r/>
    </w:p>
    <w:p w14:paraId="30AF7FE9" w14:textId="77777777">
      <w:pPr>
        <w:pBdr/>
        <w:spacing w:after="160" w:before="160"/>
        <w:ind w:left="284"/>
        <w:jc w:val="both"/>
        <w:rPr/>
      </w:pPr>
      <w:r>
        <w:rPr>
          <w:rFonts w:ascii="Arial" w:hAnsi="Arial" w:cs="Arial"/>
          <w:b/>
          <w:sz w:val="19"/>
          <w:szCs w:val="19"/>
        </w:rPr>
        <w:t xml:space="preserve">4.5.2.</w:t>
      </w:r>
      <w:r>
        <w:rPr>
          <w:rFonts w:ascii="Arial" w:hAnsi="Arial" w:cs="Arial"/>
          <w:sz w:val="19"/>
          <w:szCs w:val="19"/>
        </w:rPr>
        <w:t xml:space="preserve"> Aqueles que se encontrem sob falência, concurso de credores, dissolução ou liquidação, ressalvados os que tenham plano de recuperação judicial aprovado em assembleia geral de credores e homologado pelo juiz.</w:t>
      </w:r>
      <w:r/>
    </w:p>
    <w:p w14:paraId="57CAE130" w14:textId="77777777">
      <w:pPr>
        <w:pBdr/>
        <w:spacing w:after="160" w:before="160"/>
        <w:ind w:left="284"/>
        <w:jc w:val="both"/>
        <w:rPr/>
      </w:pPr>
      <w:r>
        <w:rPr>
          <w:rFonts w:ascii="Arial" w:hAnsi="Arial" w:cs="Arial"/>
          <w:b/>
        </w:rPr>
        <w:t xml:space="preserve">4.5.3. Empresas reunidas em consórcio, qualquer que seja sua forma de constituição.</w:t>
      </w:r>
      <w:r/>
    </w:p>
    <w:p w14:paraId="1D2DDC96" w14:textId="62456895">
      <w:pPr>
        <w:pBdr/>
        <w:spacing w:after="160" w:before="160"/>
        <w:ind w:left="284"/>
        <w:jc w:val="both"/>
        <w:rPr>
          <w:rFonts w:ascii="Arial" w:hAnsi="Arial" w:cs="Arial"/>
          <w:sz w:val="19"/>
          <w:szCs w:val="19"/>
        </w:rPr>
      </w:pPr>
      <w:r>
        <w:rPr>
          <w:rFonts w:ascii="Arial" w:hAnsi="Arial" w:cs="Arial"/>
          <w:sz w:val="19"/>
          <w:szCs w:val="19"/>
        </w:rPr>
        <w:t xml:space="preserve">Considerando o objeto do certame – contratação de empresa especializada para </w:t>
      </w:r>
      <w:r>
        <w:rPr>
          <w:rFonts w:ascii="Arial" w:hAnsi="Arial" w:cs="Arial"/>
          <w:b/>
          <w:i/>
        </w:rPr>
        <w:t xml:space="preserve">serviços de administração, gerenciamento e operacionalização de cartões magnéticos ou eletrônicos com tecnologia apropriada</w:t>
      </w:r>
      <w:r>
        <w:rPr>
          <w:rFonts w:ascii="Arial" w:hAnsi="Arial" w:cs="Arial"/>
          <w:sz w:val="19"/>
          <w:szCs w:val="19"/>
        </w:rPr>
        <w:t xml:space="preserve">, mediante rede credenciada, verifica-se que não se trata de objeto de alta complexidade técnica ou de vulto extraordinário que demande a formação de consórcios empresariais para sua execução.</w:t>
      </w:r>
      <w:r>
        <w:rPr>
          <w:rFonts w:ascii="Arial" w:hAnsi="Arial" w:cs="Arial"/>
          <w:sz w:val="19"/>
          <w:szCs w:val="19"/>
        </w:rPr>
      </w:r>
    </w:p>
    <w:p w14:paraId="18264FFE" w14:textId="3F755C6B">
      <w:pPr>
        <w:pBdr/>
        <w:spacing w:after="160" w:before="160"/>
        <w:ind w:left="284"/>
        <w:jc w:val="both"/>
        <w:rPr>
          <w:rFonts w:ascii="Arial" w:hAnsi="Arial" w:cs="Arial"/>
          <w:sz w:val="19"/>
          <w:szCs w:val="19"/>
        </w:rPr>
      </w:pPr>
      <w:r>
        <w:rPr>
          <w:rFonts w:ascii="Arial" w:hAnsi="Arial" w:cs="Arial"/>
          <w:sz w:val="19"/>
          <w:szCs w:val="19"/>
        </w:rPr>
        <w:t xml:space="preserve">O mercado nacional dispõe de diversas empresas especializadas que, de forma isolada, possuem p</w:t>
      </w:r>
      <w:r>
        <w:rPr>
          <w:rFonts w:ascii="Arial" w:hAnsi="Arial" w:cs="Arial"/>
          <w:sz w:val="19"/>
          <w:szCs w:val="19"/>
        </w:rPr>
        <w:t xml:space="preserve">lena capacidade técnica e econômico-financeira para atender às exigências do edital, incluindo o fornecimento de software, rede credenciada, controle informatizado. Dessa forma, não há necessidade de união de empresas para viabilizar a execução contratual.</w:t>
      </w:r>
      <w:r>
        <w:rPr>
          <w:rFonts w:ascii="Arial" w:hAnsi="Arial" w:cs="Arial"/>
          <w:sz w:val="19"/>
          <w:szCs w:val="19"/>
        </w:rPr>
      </w:r>
    </w:p>
    <w:p w14:paraId="36ED5EA9" w14:textId="77777777">
      <w:pPr>
        <w:pBdr/>
        <w:spacing w:after="160" w:before="160"/>
        <w:ind w:left="284"/>
        <w:jc w:val="both"/>
        <w:rPr>
          <w:rFonts w:ascii="Arial" w:hAnsi="Arial" w:cs="Arial"/>
          <w:sz w:val="19"/>
          <w:szCs w:val="19"/>
        </w:rPr>
      </w:pPr>
      <w:r>
        <w:rPr>
          <w:rFonts w:ascii="Arial" w:hAnsi="Arial" w:cs="Arial"/>
          <w:sz w:val="19"/>
          <w:szCs w:val="19"/>
        </w:rPr>
        <w:t xml:space="preserve">Ademais, a admissão de consórcios acarretaria a complexificação da fase de habilitação, uma vez que a análise documental, societária e de responsabilidade solidária entre os</w:t>
      </w:r>
      <w:r>
        <w:rPr>
          <w:rFonts w:ascii="Arial" w:hAnsi="Arial" w:cs="Arial"/>
          <w:sz w:val="19"/>
          <w:szCs w:val="19"/>
        </w:rPr>
        <w:t xml:space="preserve"> consorciados se torna mais extensa e burocrática, sem trazer qualquer ganho para a Administração. Pelo contrário, a simplificação do processo, com a participação apenas de empresas individualmente, garante maior celeridade e segurança jurídica ao certame.</w:t>
      </w:r>
      <w:r>
        <w:rPr>
          <w:rFonts w:ascii="Arial" w:hAnsi="Arial" w:cs="Arial"/>
          <w:sz w:val="19"/>
          <w:szCs w:val="19"/>
        </w:rPr>
      </w:r>
    </w:p>
    <w:p w14:paraId="23DFB10A" w14:textId="15945A1D">
      <w:pPr>
        <w:pBdr/>
        <w:spacing w:after="160" w:before="160"/>
        <w:ind w:left="284"/>
        <w:jc w:val="both"/>
        <w:rPr>
          <w:rFonts w:ascii="Arial" w:hAnsi="Arial" w:cs="Arial"/>
          <w:sz w:val="19"/>
          <w:szCs w:val="19"/>
        </w:rPr>
      </w:pPr>
      <w:r>
        <w:rPr>
          <w:rFonts w:ascii="Arial" w:hAnsi="Arial" w:cs="Arial"/>
          <w:sz w:val="19"/>
          <w:szCs w:val="19"/>
        </w:rPr>
        <w:t xml:space="preserve">Cumpre ressaltar que a vedação não compromete a competitividade da licitação, haja vista a existência de ampla concorrência no setor de gestão </w:t>
      </w:r>
      <w:r>
        <w:rPr>
          <w:rFonts w:ascii="Arial" w:hAnsi="Arial" w:cs="Arial"/>
          <w:sz w:val="19"/>
          <w:szCs w:val="19"/>
        </w:rPr>
        <w:t xml:space="preserve">e </w:t>
      </w:r>
      <w:r>
        <w:rPr>
          <w:rFonts w:ascii="Arial" w:hAnsi="Arial" w:cs="Arial"/>
          <w:sz w:val="19"/>
          <w:szCs w:val="19"/>
        </w:rPr>
        <w:t xml:space="preserve">de fornecimento de soluções informatizadas, com empresas de pequeno, médio e grande porte que, isoladamente, atendem às exigências técnicas mínimas.</w:t>
      </w:r>
      <w:r>
        <w:rPr>
          <w:rFonts w:ascii="Arial" w:hAnsi="Arial" w:cs="Arial"/>
          <w:sz w:val="19"/>
          <w:szCs w:val="19"/>
        </w:rPr>
      </w:r>
    </w:p>
    <w:p w14:paraId="6CD7E449" w14:textId="77777777">
      <w:pPr>
        <w:pBdr/>
        <w:spacing w:after="160" w:before="160"/>
        <w:ind w:left="284"/>
        <w:jc w:val="both"/>
        <w:rPr>
          <w:rFonts w:ascii="Arial" w:hAnsi="Arial" w:cs="Arial"/>
          <w:sz w:val="19"/>
          <w:szCs w:val="19"/>
        </w:rPr>
      </w:pPr>
      <w:r>
        <w:rPr>
          <w:rFonts w:ascii="Arial" w:hAnsi="Arial" w:cs="Arial"/>
          <w:sz w:val="19"/>
          <w:szCs w:val="19"/>
        </w:rPr>
        <w:t xml:space="preserve">Por outro lado, a possibilidade </w:t>
      </w:r>
      <w:r>
        <w:rPr>
          <w:rFonts w:ascii="Arial" w:hAnsi="Arial" w:cs="Arial"/>
          <w:sz w:val="19"/>
          <w:szCs w:val="19"/>
        </w:rPr>
        <w:t xml:space="preserve">de formação de consórcios poderia gerar risco de concentração de mercado ou de práticas anticompetitivas, mediante pactos entre grandes players, o que contraria o princípio da isonomia e da competitividade previsto no art. 5º, caput, da Lei nº 14.133/2021.</w:t>
      </w:r>
      <w:r>
        <w:rPr>
          <w:rFonts w:ascii="Arial" w:hAnsi="Arial" w:cs="Arial"/>
          <w:sz w:val="19"/>
          <w:szCs w:val="19"/>
        </w:rPr>
      </w:r>
    </w:p>
    <w:p w14:paraId="74090DB2" w14:textId="77777777">
      <w:pPr>
        <w:pBdr/>
        <w:spacing w:after="160" w:before="160"/>
        <w:ind w:left="284"/>
        <w:jc w:val="both"/>
        <w:rPr>
          <w:rFonts w:ascii="Arial" w:hAnsi="Arial" w:cs="Arial"/>
          <w:sz w:val="19"/>
          <w:szCs w:val="19"/>
        </w:rPr>
      </w:pPr>
      <w:r>
        <w:rPr>
          <w:rFonts w:ascii="Arial" w:hAnsi="Arial" w:cs="Arial"/>
          <w:sz w:val="19"/>
          <w:szCs w:val="19"/>
        </w:rPr>
        <w:t xml:space="preserve">Assim, a vedação à participação de consórcios está amparada no fato de que o </w:t>
      </w:r>
      <w:r>
        <w:rPr>
          <w:rFonts w:ascii="Arial" w:hAnsi="Arial" w:cs="Arial"/>
          <w:sz w:val="19"/>
          <w:szCs w:val="19"/>
        </w:rPr>
        <w:t xml:space="preserve">objeto é considerado serviço comum, de uso contínuo, plenamente exequível por empresas individualmente habilitadas, sem prejuízo à competitividade, atendendo ao princípio da eficiência e garantindo maior controle e transparência por parte da Administração.</w:t>
      </w:r>
      <w:r>
        <w:rPr>
          <w:rFonts w:ascii="Arial" w:hAnsi="Arial" w:cs="Arial"/>
          <w:sz w:val="19"/>
          <w:szCs w:val="19"/>
        </w:rPr>
      </w:r>
    </w:p>
    <w:p w14:paraId="55784DFD" w14:textId="77777777">
      <w:pPr>
        <w:pBdr/>
        <w:spacing w:after="160" w:before="160"/>
        <w:ind w:left="284"/>
        <w:jc w:val="both"/>
        <w:rPr/>
      </w:pPr>
      <w:r>
        <w:rPr>
          <w:rFonts w:ascii="Arial" w:hAnsi="Arial" w:cs="Arial"/>
          <w:b/>
        </w:rPr>
        <w:t xml:space="preserve">4.5.4.</w:t>
      </w:r>
      <w:r>
        <w:rPr>
          <w:rFonts w:ascii="Arial" w:hAnsi="Arial" w:cs="Arial"/>
        </w:rPr>
        <w:t xml:space="preserve"> Organizações da Sociedade Civil de Interesse Público - OSCIP, atuando nessa condição;</w:t>
      </w:r>
      <w:r/>
    </w:p>
    <w:p w14:paraId="0354C0E0" w14:textId="77777777">
      <w:pPr>
        <w:pBdr/>
        <w:spacing w:after="160" w:before="160"/>
        <w:ind w:left="284"/>
        <w:jc w:val="both"/>
        <w:rPr/>
      </w:pPr>
      <w:r>
        <w:rPr>
          <w:rFonts w:ascii="Arial" w:hAnsi="Arial" w:cs="Arial"/>
          <w:b/>
        </w:rPr>
        <w:t xml:space="preserve">4.5.5.</w:t>
      </w:r>
      <w:r>
        <w:rPr>
          <w:rFonts w:ascii="Arial" w:hAnsi="Arial" w:cs="Arial"/>
        </w:rPr>
        <w:t xml:space="preserve"> Empresa suspensa de licitar e contratar com a Prefeitura Municipal de Rondonópolis;</w:t>
      </w:r>
      <w:r/>
    </w:p>
    <w:p w14:paraId="6577FC4F" w14:textId="77777777">
      <w:pPr>
        <w:pBdr/>
        <w:spacing w:after="160" w:before="160"/>
        <w:ind w:left="284"/>
        <w:jc w:val="both"/>
        <w:rPr/>
      </w:pPr>
      <w:r>
        <w:rPr>
          <w:rFonts w:ascii="Arial" w:hAnsi="Arial" w:cs="Arial"/>
          <w:b/>
        </w:rPr>
        <w:t xml:space="preserve">4.5.6.</w:t>
      </w:r>
      <w:r>
        <w:rPr>
          <w:rFonts w:ascii="Arial" w:hAnsi="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r/>
    </w:p>
    <w:p w14:paraId="47173F9D" w14:textId="77777777">
      <w:pPr>
        <w:pBdr/>
        <w:spacing w:after="160" w:before="160"/>
        <w:ind w:left="284"/>
        <w:jc w:val="both"/>
        <w:rPr/>
      </w:pPr>
      <w:r>
        <w:rPr>
          <w:rFonts w:ascii="Arial" w:hAnsi="Arial" w:cs="Arial"/>
          <w:b/>
        </w:rPr>
        <w:t xml:space="preserve">4.5.7.</w:t>
      </w:r>
      <w:r>
        <w:rPr>
          <w:rFonts w:ascii="Arial" w:hAnsi="Arial" w:cs="Arial"/>
        </w:rPr>
        <w:t xml:space="preserve"> Cooperativas, exclusivamente nos casos em que o objeto do certame requer subordinação de mão de obra (Fundamentação: art. 5º da Lei 12.690/12 e acórdãos TCU 1937/03, 307/04, 1148/05);</w:t>
      </w:r>
      <w:r/>
    </w:p>
    <w:p w14:paraId="61F03D81" w14:textId="77777777">
      <w:pPr>
        <w:pBdr/>
        <w:spacing w:after="160" w:before="160"/>
        <w:ind w:left="284"/>
        <w:jc w:val="both"/>
        <w:rPr/>
      </w:pPr>
      <w:r>
        <w:rPr>
          <w:rFonts w:ascii="Arial" w:hAnsi="Arial" w:cs="Arial"/>
          <w:b/>
        </w:rPr>
        <w:t xml:space="preserve">4.5.8.</w:t>
      </w:r>
      <w:r>
        <w:rPr>
          <w:rFonts w:ascii="Arial" w:hAnsi="Arial" w:cs="Arial"/>
        </w:rPr>
        <w:t xml:space="preserve"> Cooperativas em que seu objeto social não tem escopo com o objeto do certame. (Fundamentação: art. 10, § 2º da Lei 12.690/12).</w:t>
      </w:r>
      <w:r/>
    </w:p>
    <w:p w14:paraId="5874650A" w14:textId="77777777">
      <w:pPr>
        <w:pBdr/>
        <w:spacing w:after="160" w:before="160"/>
        <w:ind w:left="284"/>
        <w:jc w:val="both"/>
        <w:rPr/>
      </w:pPr>
      <w:r>
        <w:rPr>
          <w:rFonts w:ascii="Arial" w:hAnsi="Arial" w:cs="Arial"/>
          <w:b/>
        </w:rPr>
        <w:t xml:space="preserve">4.5.9.</w:t>
      </w:r>
      <w:r>
        <w:rPr>
          <w:rFonts w:ascii="Arial" w:hAnsi="Arial" w:cs="Arial"/>
        </w:rPr>
        <w:t xml:space="preserve"> Empresas controladoras, controladas ou coligadas, nos termos da Lei Federal nº 6.404, de 15 de dezembro de 1976, concorrendo entre si;</w:t>
      </w:r>
      <w:r/>
    </w:p>
    <w:p w14:paraId="04550F0C" w14:textId="77777777">
      <w:pPr>
        <w:pBdr/>
        <w:spacing w:after="160" w:before="160"/>
        <w:ind w:left="284"/>
        <w:jc w:val="both"/>
        <w:rPr/>
      </w:pPr>
      <w:r>
        <w:rPr>
          <w:rFonts w:ascii="Arial" w:hAnsi="Arial" w:cs="Arial"/>
          <w:b/>
        </w:rPr>
        <w:t xml:space="preserve">4.5.10.</w:t>
      </w:r>
      <w:r>
        <w:rPr>
          <w:rFonts w:ascii="Arial" w:hAnsi="Arial" w:cs="Arial"/>
        </w:rPr>
        <w:t xml:space="preserve"> Empresas estrangeiras que não funcionem no País.</w:t>
      </w:r>
      <w:r/>
    </w:p>
    <w:p w14:paraId="4E2EEDBD" w14:textId="77777777">
      <w:pPr>
        <w:pBdr/>
        <w:spacing w:after="160" w:before="160"/>
        <w:ind w:left="284"/>
        <w:jc w:val="both"/>
        <w:rPr/>
      </w:pPr>
      <w:r>
        <w:rPr>
          <w:rFonts w:ascii="Arial" w:hAnsi="Arial" w:cs="Arial"/>
          <w:b/>
        </w:rPr>
        <w:t xml:space="preserve">4.5.11</w:t>
      </w:r>
      <w:r>
        <w:rPr>
          <w:rFonts w:ascii="Arial" w:hAnsi="Arial" w:cs="Arial"/>
        </w:rPr>
        <w:t xml:space="preserve">. Autor do anteprojeto, do projeto básico ou do projeto executivo, pessoa física ou jurídica, quando a licitação versar sobre obra, serviços ou fornecimento de bens a ele relacionados.</w:t>
      </w:r>
      <w:r/>
    </w:p>
    <w:p w14:paraId="79635634" w14:textId="77777777">
      <w:pPr>
        <w:pBdr/>
        <w:spacing/>
        <w:ind w:left="426"/>
        <w:jc w:val="both"/>
        <w:rPr/>
      </w:pPr>
      <w:r>
        <w:rPr>
          <w:rFonts w:ascii="Arial" w:hAnsi="Arial" w:cs="Arial"/>
          <w:b/>
        </w:rPr>
        <w:t xml:space="preserve">4.5.11.1.</w:t>
      </w:r>
      <w:r>
        <w:rPr>
          <w:rFonts w:ascii="Arial" w:hAnsi="Arial" w:cs="Arial"/>
        </w:rPr>
        <w:t xml:space="preserve"> Equiparam-se aos autores do projeto as empresas integrantes do mesmo grupo econômico.</w:t>
      </w:r>
      <w:r/>
    </w:p>
    <w:p w14:paraId="72EF1454" w14:textId="77777777">
      <w:pPr>
        <w:pBdr/>
        <w:spacing w:after="160" w:before="160"/>
        <w:ind w:left="284"/>
        <w:jc w:val="both"/>
        <w:rPr/>
      </w:pPr>
      <w:r>
        <w:rPr>
          <w:rFonts w:ascii="Arial" w:hAnsi="Arial" w:cs="Arial"/>
          <w:b/>
        </w:rPr>
        <w:t xml:space="preserve">4.5.12. </w:t>
      </w:r>
      <w:r>
        <w:rPr>
          <w:rFonts w:ascii="Arial" w:hAnsi="Arial" w:cs="Arial"/>
        </w:rPr>
        <w:t xml:space="preserve">Aquele que de forma isolada ou em consórcio, for responsável pela elaboração do projeto básico ou do projeto executivo, ou empresa da qual o autor do pr</w:t>
      </w:r>
      <w:r>
        <w:rPr>
          <w:rFonts w:ascii="Arial" w:hAnsi="Arial" w:cs="Arial"/>
        </w:rPr>
        <w:t xml:space="preserve">ojeto seja dirigente, gerente, controlador, acionista ou detentor de mais de 5% (cinco por cento) do capital com direito a voto, responsável técnico ou subcontratado, quando a licitação versar sobre obra, serviços ou fornecimento de bens a ela necessários.</w:t>
      </w:r>
      <w:r/>
    </w:p>
    <w:p w14:paraId="58EBDC11" w14:textId="77777777">
      <w:pPr>
        <w:pBdr/>
        <w:spacing/>
        <w:ind w:left="284"/>
        <w:jc w:val="both"/>
        <w:rPr/>
      </w:pPr>
      <w:r>
        <w:rPr>
          <w:rFonts w:ascii="Arial" w:hAnsi="Arial" w:cs="Arial"/>
          <w:b/>
        </w:rPr>
        <w:t xml:space="preserve">4.5.13.</w:t>
      </w:r>
      <w:r>
        <w:rPr>
          <w:rFonts w:ascii="Arial" w:hAnsi="Arial" w:cs="Arial"/>
        </w:rPr>
        <w:t xml:space="preserve"> A critério da Administração e exclusivamente a seu serviço, o autor dos projetos </w:t>
      </w:r>
      <w:r>
        <w:rPr>
          <w:rFonts w:ascii="Arial" w:hAnsi="Arial" w:cs="Arial"/>
        </w:rPr>
        <w:t xml:space="preserve">e a empresa a que se referem os itens 4.5.11 e 4.5.12 poderão participar no apoio das atividades de planejamento da contratação, de execução da licitação ou de gestão do contrato, desde que sob supervisão exclusiva de agentes públicos do órgão ou entidade.</w:t>
      </w:r>
      <w:r/>
    </w:p>
    <w:p w14:paraId="6B665443" w14:textId="77777777">
      <w:pPr>
        <w:pBdr/>
        <w:spacing/>
        <w:ind w:left="284"/>
        <w:jc w:val="both"/>
        <w:rPr>
          <w:rFonts w:ascii="Arial" w:cs="Arial"/>
        </w:rPr>
      </w:pPr>
      <w:r>
        <w:rPr>
          <w:rFonts w:ascii="Arial" w:cs="Arial"/>
        </w:rPr>
      </w:r>
      <w:r>
        <w:rPr>
          <w:rFonts w:ascii="Arial" w:cs="Arial"/>
        </w:rPr>
      </w:r>
    </w:p>
    <w:p w14:paraId="4FBB713F" w14:textId="77777777">
      <w:pPr>
        <w:pBdr/>
        <w:spacing/>
        <w:ind w:left="284"/>
        <w:jc w:val="both"/>
        <w:rPr/>
      </w:pPr>
      <w:r>
        <w:rPr>
          <w:rFonts w:ascii="Arial" w:hAnsi="Arial" w:cs="Arial"/>
          <w:b/>
        </w:rPr>
        <w:t xml:space="preserve">4.5.14.</w:t>
      </w:r>
      <w:r>
        <w:rPr>
          <w:rFonts w:ascii="Arial" w:hAnsi="Arial" w:cs="Arial"/>
        </w:rPr>
        <w:t xml:space="preserve"> Pessoa física ou jurídica que se encontre, ao tempo da licitação, impossibilitada de participar da licitação em decorrência de sanção que lhe foi imposta, aplicad</w:t>
      </w:r>
      <w:r>
        <w:rPr>
          <w:rFonts w:ascii="Arial" w:hAnsi="Arial" w:cs="Arial"/>
        </w:rPr>
        <w:t xml:space="preserve">o também ao licitante que atue em substituição a outra pessoa física ou jurídica, com o intuito de burlar a efetividade da sanção a ela aplicada, desde que devidamente comprovado o ilícito ou a utilização fraudulenta da personalidade jurídica do licitante.</w:t>
      </w:r>
      <w:r/>
    </w:p>
    <w:p w14:paraId="64F44EBB" w14:textId="77777777">
      <w:pPr>
        <w:pBdr/>
        <w:spacing/>
        <w:ind w:left="284"/>
        <w:jc w:val="both"/>
        <w:rPr>
          <w:rFonts w:ascii="Arial" w:cs="Arial"/>
        </w:rPr>
      </w:pPr>
      <w:r>
        <w:rPr>
          <w:rFonts w:ascii="Arial" w:cs="Arial"/>
        </w:rPr>
      </w:r>
      <w:r>
        <w:rPr>
          <w:rFonts w:ascii="Arial" w:cs="Arial"/>
        </w:rPr>
      </w:r>
    </w:p>
    <w:p w14:paraId="0B7D5BC4" w14:textId="77777777">
      <w:pPr>
        <w:pBdr/>
        <w:spacing/>
        <w:ind w:left="284"/>
        <w:jc w:val="both"/>
        <w:rPr/>
      </w:pPr>
      <w:r>
        <w:rPr>
          <w:rFonts w:ascii="Arial" w:hAnsi="Arial" w:cs="Arial"/>
          <w:b/>
        </w:rPr>
        <w:t xml:space="preserve">4.5.15.</w:t>
      </w:r>
      <w:r>
        <w:rPr>
          <w:rFonts w:ascii="Arial" w:hAnsi="Arial" w:cs="Arial"/>
        </w:rPr>
        <w:t xml:space="preserve"> Aquele que mantenha vínculo de natureza técnica, comercial, econômica, financeira, trabalhista ou</w:t>
      </w:r>
      <w:r>
        <w:rPr>
          <w:rFonts w:ascii="Arial" w:hAnsi="Arial" w:cs="Arial"/>
        </w:rPr>
        <w:t xml:space="preserve"> civil com dirigente do contratante ou com agente público que desempenhe função na licitação ou atue na fiscalização ou na gestão do contrato, ou que deles seja cônjuge, companheiro ou parente em linha reta, colateral ou por afinidade, até o terceiro grau.</w:t>
      </w:r>
      <w:r/>
    </w:p>
    <w:p w14:paraId="63361D08" w14:textId="77777777">
      <w:pPr>
        <w:pBdr/>
        <w:spacing/>
        <w:ind w:left="284"/>
        <w:jc w:val="both"/>
        <w:rPr>
          <w:rFonts w:ascii="Arial" w:cs="Arial"/>
        </w:rPr>
      </w:pPr>
      <w:r>
        <w:rPr>
          <w:rFonts w:ascii="Arial" w:cs="Arial"/>
        </w:rPr>
      </w:r>
      <w:r>
        <w:rPr>
          <w:rFonts w:ascii="Arial" w:cs="Arial"/>
        </w:rPr>
      </w:r>
    </w:p>
    <w:p w14:paraId="2E04A9E7" w14:textId="77777777">
      <w:pPr>
        <w:pBdr/>
        <w:spacing/>
        <w:ind w:left="284"/>
        <w:jc w:val="both"/>
        <w:rPr/>
      </w:pPr>
      <w:r>
        <w:rPr>
          <w:rFonts w:ascii="Arial" w:hAnsi="Arial" w:cs="Arial"/>
          <w:b/>
        </w:rPr>
        <w:t xml:space="preserve">4.5.16.</w:t>
      </w:r>
      <w:r>
        <w:rPr>
          <w:rFonts w:ascii="Arial" w:hAnsi="Arial" w:cs="Arial"/>
        </w:rPr>
        <w:t xml:space="preserve"> Pessoa física ou jurídica que, nos 05 (cinco) anos anteriores à divulgação </w:t>
      </w:r>
      <w:r>
        <w:rPr>
          <w:rFonts w:ascii="Arial" w:hAnsi="Arial" w:cs="Arial"/>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p>
    <w:p w14:paraId="03F6CF46" w14:textId="77777777">
      <w:pPr>
        <w:pBdr/>
        <w:spacing/>
        <w:ind w:left="284"/>
        <w:jc w:val="both"/>
        <w:rPr>
          <w:rFonts w:ascii="Arial" w:cs="Arial"/>
        </w:rPr>
      </w:pPr>
      <w:r>
        <w:rPr>
          <w:rFonts w:ascii="Arial" w:cs="Arial"/>
        </w:rPr>
      </w:r>
      <w:r>
        <w:rPr>
          <w:rFonts w:ascii="Arial" w:cs="Arial"/>
        </w:rPr>
      </w:r>
    </w:p>
    <w:p w14:paraId="2E7A676E" w14:textId="77777777">
      <w:pPr>
        <w:pBdr/>
        <w:spacing/>
        <w:ind w:left="284"/>
        <w:jc w:val="both"/>
        <w:rPr/>
      </w:pPr>
      <w:r>
        <w:rPr>
          <w:rFonts w:ascii="Arial" w:hAnsi="Arial" w:cs="Arial"/>
          <w:b/>
        </w:rPr>
        <w:t xml:space="preserve">4.5.17.</w:t>
      </w:r>
      <w:r>
        <w:rPr>
          <w:rFonts w:ascii="Arial" w:hAnsi="Arial" w:cs="Arial"/>
        </w:rPr>
        <w:t xml:space="preserve"> Não poderá participar, direta ou indiretamente, da licitação ou da execução do contrato agente público do órgão ou ent</w:t>
      </w:r>
      <w:r>
        <w:rPr>
          <w:rFonts w:ascii="Arial" w:hAnsi="Arial" w:cs="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p>
    <w:p w14:paraId="28DEA6E0" w14:textId="77777777">
      <w:pPr>
        <w:pBdr/>
        <w:spacing/>
        <w:ind w:left="284"/>
        <w:jc w:val="both"/>
        <w:rPr>
          <w:rFonts w:ascii="Arial" w:cs="Arial"/>
        </w:rPr>
      </w:pPr>
      <w:r>
        <w:rPr>
          <w:rFonts w:ascii="Arial" w:cs="Arial"/>
        </w:rPr>
      </w:r>
      <w:r>
        <w:rPr>
          <w:rFonts w:ascii="Arial" w:cs="Arial"/>
        </w:rPr>
      </w:r>
    </w:p>
    <w:p w14:paraId="00B4B6E5" w14:textId="77777777">
      <w:pPr>
        <w:pBdr/>
        <w:spacing/>
        <w:ind w:left="284"/>
        <w:jc w:val="both"/>
        <w:rPr/>
      </w:pPr>
      <w:r>
        <w:rPr>
          <w:rFonts w:ascii="Arial" w:hAnsi="Arial" w:cs="Arial"/>
          <w:b/>
        </w:rPr>
        <w:t xml:space="preserve">4.5.18.</w:t>
      </w:r>
      <w:r>
        <w:rPr>
          <w:rFonts w:ascii="Arial" w:hAnsi="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p>
    <w:p w14:paraId="2FD928AA" w14:textId="77777777">
      <w:pPr>
        <w:pBdr/>
        <w:spacing/>
        <w:ind w:left="284"/>
        <w:jc w:val="both"/>
        <w:rPr>
          <w:rFonts w:ascii="Arial" w:cs="Arial"/>
        </w:rPr>
      </w:pPr>
      <w:r>
        <w:rPr>
          <w:rFonts w:ascii="Arial" w:cs="Arial"/>
        </w:rPr>
      </w:r>
      <w:r>
        <w:rPr>
          <w:rFonts w:ascii="Arial" w:cs="Arial"/>
        </w:rPr>
      </w:r>
    </w:p>
    <w:p w14:paraId="38F9C173" w14:textId="77777777">
      <w:pPr>
        <w:pStyle w:val="873"/>
        <w:pBdr/>
        <w:spacing w:after="0" w:before="0"/>
        <w:ind/>
        <w:rPr>
          <w:lang w:val="pt-BR"/>
        </w:rPr>
      </w:pPr>
      <w:r/>
      <w:bookmarkStart w:id="20" w:name="_Toc190764794"/>
      <w:r/>
      <w:bookmarkStart w:id="21" w:name="_Toc23863"/>
      <w:r>
        <w:rPr>
          <w:sz w:val="20"/>
          <w:lang w:val="pt-BR"/>
        </w:rPr>
        <w:t xml:space="preserve">5. DO CREDENCIAMENTO:</w:t>
      </w:r>
      <w:bookmarkEnd w:id="20"/>
      <w:r/>
      <w:bookmarkEnd w:id="21"/>
      <w:r>
        <w:rPr>
          <w:sz w:val="20"/>
          <w:lang w:val="pt-BR"/>
        </w:rPr>
        <w:t xml:space="preserve"> </w:t>
      </w:r>
      <w:r>
        <w:rPr>
          <w:lang w:val="pt-BR"/>
        </w:rPr>
      </w:r>
    </w:p>
    <w:p w14:paraId="607F26E3" w14:textId="77777777">
      <w:pPr>
        <w:pBdr/>
        <w:spacing/>
        <w:ind/>
        <w:jc w:val="both"/>
        <w:rPr>
          <w:rFonts w:ascii="Arial" w:cs="Arial"/>
        </w:rPr>
      </w:pPr>
      <w:r>
        <w:rPr>
          <w:rFonts w:ascii="Arial" w:cs="Arial"/>
        </w:rPr>
      </w:r>
      <w:r>
        <w:rPr>
          <w:rFonts w:ascii="Arial" w:cs="Arial"/>
        </w:rPr>
      </w:r>
    </w:p>
    <w:p w14:paraId="0903CD5A" w14:textId="77777777">
      <w:pPr>
        <w:pBdr/>
        <w:spacing/>
        <w:ind/>
        <w:jc w:val="both"/>
        <w:rPr/>
      </w:pPr>
      <w:r>
        <w:rPr>
          <w:rFonts w:ascii="Arial" w:hAnsi="Arial" w:cs="Arial"/>
          <w:b/>
          <w:sz w:val="19"/>
          <w:szCs w:val="19"/>
        </w:rPr>
        <w:t xml:space="preserve">5.1.</w:t>
      </w:r>
      <w:r>
        <w:rPr>
          <w:rFonts w:ascii="Arial" w:hAnsi="Arial" w:cs="Arial"/>
          <w:sz w:val="19"/>
          <w:szCs w:val="19"/>
        </w:rPr>
        <w:t xml:space="preserve"> Para participação da licitação ou simples acompanha-la, o interessado deverá acessar, na internet, a página </w:t>
      </w:r>
      <w:r>
        <w:rPr>
          <w:rFonts w:ascii="Arial" w:hAnsi="Arial" w:cs="Arial"/>
          <w:b/>
          <w:sz w:val="19"/>
          <w:szCs w:val="19"/>
        </w:rPr>
        <w:t xml:space="preserve">bllcompras.com</w:t>
      </w:r>
      <w:r>
        <w:rPr>
          <w:rFonts w:ascii="Arial" w:hAnsi="Arial" w:cs="Arial"/>
          <w:sz w:val="19"/>
          <w:szCs w:val="19"/>
        </w:rPr>
        <w:t xml:space="preserve">, onde se encontra o link para o “</w:t>
      </w:r>
      <w:r>
        <w:rPr>
          <w:rFonts w:ascii="Arial" w:hAnsi="Arial" w:cs="Arial"/>
          <w:b/>
          <w:sz w:val="19"/>
          <w:szCs w:val="19"/>
        </w:rPr>
        <w:t xml:space="preserve">Acesso Identificado</w:t>
      </w:r>
      <w:r>
        <w:rPr>
          <w:rFonts w:ascii="Arial" w:hAnsi="Arial" w:cs="Arial"/>
          <w:sz w:val="19"/>
          <w:szCs w:val="19"/>
        </w:rPr>
        <w:t xml:space="preserve">”, deverão dispor de chave de identificação e de senha pessoais e intransferíveis, obtidas junto à </w:t>
      </w:r>
      <w:r>
        <w:rPr>
          <w:rFonts w:ascii="Arial" w:hAnsi="Arial" w:cs="Arial"/>
          <w:b/>
          <w:sz w:val="19"/>
          <w:szCs w:val="19"/>
        </w:rPr>
        <w:t xml:space="preserve">BLL – Bolsa de Licitações e Leilões: </w:t>
      </w:r>
      <w:hyperlink r:id="rId17" w:tooltip="http://www.bllcompras.org.br" w:history="1">
        <w:r>
          <w:rPr>
            <w:rFonts w:ascii="Arial" w:hAnsi="Arial" w:cs="Arial"/>
            <w:b/>
            <w:color w:val="000000"/>
            <w:sz w:val="19"/>
            <w:szCs w:val="19"/>
            <w:u w:val="single"/>
          </w:rPr>
          <w:t xml:space="preserve">bllcompras.com</w:t>
        </w:r>
      </w:hyperlink>
      <w:r>
        <w:rPr>
          <w:rFonts w:ascii="Arial" w:hAnsi="Arial" w:cs="Arial"/>
          <w:b/>
          <w:sz w:val="19"/>
          <w:szCs w:val="19"/>
        </w:rPr>
        <w:t xml:space="preserve">. </w:t>
      </w:r>
      <w:r/>
    </w:p>
    <w:p w14:paraId="71E9A4F9" w14:textId="77777777">
      <w:pPr>
        <w:pBdr/>
        <w:spacing/>
        <w:ind w:left="284"/>
        <w:jc w:val="both"/>
        <w:rPr>
          <w:rFonts w:ascii="Arial" w:cs="Arial"/>
          <w:b/>
        </w:rPr>
      </w:pPr>
      <w:r>
        <w:rPr>
          <w:rFonts w:ascii="Arial" w:cs="Arial"/>
          <w:b/>
        </w:rPr>
      </w:r>
      <w:r>
        <w:rPr>
          <w:rFonts w:ascii="Arial" w:cs="Arial"/>
          <w:b/>
        </w:rPr>
      </w:r>
    </w:p>
    <w:p w14:paraId="2B6AD5E6" w14:textId="77777777">
      <w:pPr>
        <w:pBdr/>
        <w:spacing/>
        <w:ind/>
        <w:jc w:val="both"/>
        <w:rPr/>
      </w:pPr>
      <w:r>
        <w:rPr>
          <w:rFonts w:ascii="Arial" w:hAnsi="Arial" w:cs="Arial"/>
          <w:b/>
        </w:rPr>
        <w:t xml:space="preserve">5.2.</w:t>
      </w:r>
      <w:r>
        <w:rPr>
          <w:rFonts w:ascii="Arial" w:hAnsi="Arial" w:cs="Arial"/>
        </w:rPr>
        <w:t xml:space="preserve"> As propostas comerciais e os documentos exigidos para habilitação poderão ser cadastrados até </w:t>
      </w:r>
      <w:r>
        <w:rPr>
          <w:rFonts w:ascii="Arial" w:hAnsi="Arial" w:cs="Arial"/>
          <w:b/>
        </w:rPr>
        <w:t xml:space="preserve">meia hora antes</w:t>
      </w:r>
      <w:r>
        <w:rPr>
          <w:rFonts w:ascii="Arial" w:hAnsi="Arial" w:cs="Arial"/>
        </w:rPr>
        <w:t xml:space="preserve"> do horário estabelecido no preambulo deste edital </w:t>
      </w:r>
      <w:r>
        <w:rPr>
          <w:rFonts w:ascii="Arial" w:hAnsi="Arial" w:cs="Arial"/>
          <w:b/>
          <w:color w:val="000000"/>
        </w:rPr>
        <w:t xml:space="preserve">(horário de Brasília) </w:t>
      </w:r>
      <w:r>
        <w:rPr>
          <w:rFonts w:ascii="Arial" w:hAnsi="Arial" w:cs="Arial"/>
        </w:rPr>
        <w:t xml:space="preserve">por meio do endereço </w:t>
      </w:r>
      <w:r>
        <w:rPr>
          <w:rFonts w:ascii="Arial" w:hAnsi="Arial" w:cs="Arial"/>
          <w:b/>
        </w:rPr>
        <w:t xml:space="preserve">bllcompras.com</w:t>
      </w:r>
      <w:r>
        <w:rPr>
          <w:rFonts w:ascii="Arial" w:hAnsi="Arial" w:cs="Arial"/>
        </w:rPr>
        <w:t xml:space="preserve">, onde se encontra o link para o “</w:t>
      </w:r>
      <w:r>
        <w:rPr>
          <w:rFonts w:ascii="Arial" w:hAnsi="Arial" w:cs="Arial"/>
          <w:b/>
        </w:rPr>
        <w:t xml:space="preserve">Acesso Identificado</w:t>
      </w:r>
      <w:r>
        <w:rPr>
          <w:rFonts w:ascii="Arial" w:hAnsi="Arial" w:cs="Arial"/>
        </w:rPr>
        <w:t xml:space="preserve">”, podendo os interessados cadastrar ou substituir propostas no sistema eletrônico; </w:t>
      </w:r>
      <w:r/>
    </w:p>
    <w:p w14:paraId="3C9CB2B2" w14:textId="77777777">
      <w:pPr>
        <w:pBdr/>
        <w:spacing/>
        <w:ind w:left="284"/>
        <w:jc w:val="both"/>
        <w:rPr>
          <w:rFonts w:ascii="Arial" w:cs="Arial"/>
          <w:b/>
        </w:rPr>
      </w:pPr>
      <w:r>
        <w:rPr>
          <w:rFonts w:ascii="Arial" w:cs="Arial"/>
          <w:b/>
        </w:rPr>
      </w:r>
      <w:r>
        <w:rPr>
          <w:rFonts w:ascii="Arial" w:cs="Arial"/>
          <w:b/>
        </w:rPr>
      </w:r>
    </w:p>
    <w:p w14:paraId="62801DD8" w14:textId="77777777">
      <w:pPr>
        <w:pBdr/>
        <w:spacing/>
        <w:ind w:left="426"/>
        <w:jc w:val="both"/>
        <w:rPr/>
      </w:pPr>
      <w:r>
        <w:rPr>
          <w:rFonts w:ascii="Arial" w:hAnsi="Arial" w:cs="Arial"/>
          <w:b/>
          <w:sz w:val="19"/>
          <w:szCs w:val="19"/>
        </w:rPr>
        <w:t xml:space="preserve">5.2.1.</w:t>
      </w:r>
      <w:r>
        <w:rPr>
          <w:rFonts w:ascii="Arial" w:hAnsi="Arial" w:cs="Arial"/>
          <w:sz w:val="19"/>
          <w:szCs w:val="19"/>
        </w:rPr>
        <w:t xml:space="preserve"> Eventuais </w:t>
      </w:r>
      <w:r>
        <w:rPr>
          <w:rFonts w:ascii="Arial" w:hAnsi="Arial" w:cs="Arial"/>
          <w:b/>
          <w:sz w:val="19"/>
          <w:szCs w:val="19"/>
        </w:rPr>
        <w:t xml:space="preserve">dúvidas para obtenção da senha</w:t>
      </w:r>
      <w:r>
        <w:rPr>
          <w:rFonts w:ascii="Arial" w:hAnsi="Arial" w:cs="Arial"/>
          <w:sz w:val="19"/>
          <w:szCs w:val="19"/>
        </w:rPr>
        <w:t xml:space="preserve"> de acesso ou qualquer problema com o cadastramento das propostas, o licitante deverá entrar em contato com a </w:t>
      </w:r>
      <w:r>
        <w:rPr>
          <w:rFonts w:ascii="Arial" w:hAnsi="Arial" w:cs="Arial"/>
          <w:b/>
          <w:sz w:val="19"/>
          <w:szCs w:val="19"/>
        </w:rPr>
        <w:t xml:space="preserve">BLL </w:t>
      </w:r>
      <w:r>
        <w:rPr>
          <w:rFonts w:ascii="Arial" w:hAnsi="Arial" w:cs="Arial"/>
          <w:sz w:val="19"/>
          <w:szCs w:val="19"/>
        </w:rPr>
        <w:t xml:space="preserve">pelos telefones </w:t>
      </w:r>
      <w:r>
        <w:rPr>
          <w:rFonts w:ascii="Arial" w:hAnsi="Arial" w:cs="Arial"/>
          <w:b/>
          <w:sz w:val="19"/>
          <w:szCs w:val="19"/>
        </w:rPr>
        <w:t xml:space="preserve">(041) 3097-4600; 3097-4623; 3097-4646; 3148-9870</w:t>
      </w:r>
      <w:r>
        <w:rPr>
          <w:rFonts w:ascii="Arial" w:hAnsi="Arial" w:cs="Arial"/>
          <w:sz w:val="19"/>
          <w:szCs w:val="19"/>
        </w:rPr>
        <w:t xml:space="preserve"> pois é de inteira responsabilidade da mesma em sanar problemas relacionados com o sistema; </w:t>
      </w:r>
      <w:r/>
    </w:p>
    <w:p w14:paraId="6805D6BC" w14:textId="77777777">
      <w:pPr>
        <w:pBdr/>
        <w:tabs>
          <w:tab w:val="left" w:leader="none" w:pos="9030"/>
        </w:tabs>
        <w:spacing/>
        <w:ind w:left="709"/>
        <w:jc w:val="both"/>
        <w:rPr/>
      </w:pPr>
      <w:r>
        <w:rPr>
          <w:rFonts w:ascii="Arial" w:cs="Arial"/>
          <w:sz w:val="19"/>
          <w:szCs w:val="19"/>
        </w:rPr>
        <w:tab/>
      </w:r>
      <w:r/>
    </w:p>
    <w:p w14:paraId="430BE062" w14:textId="77777777">
      <w:pPr>
        <w:pBdr/>
        <w:spacing/>
        <w:ind/>
        <w:jc w:val="both"/>
        <w:rPr/>
      </w:pPr>
      <w:r>
        <w:rPr>
          <w:rFonts w:ascii="Arial" w:hAnsi="Arial" w:cs="Arial"/>
          <w:b/>
        </w:rPr>
        <w:t xml:space="preserve">5.3. </w:t>
      </w:r>
      <w:r>
        <w:rPr>
          <w:rFonts w:ascii="Arial" w:hAnsi="Arial" w:cs="Arial"/>
        </w:rPr>
        <w:t xml:space="preserve">A chave de identificação e senha poderão ser utilizadas em qualquer pregão eletrônico, salvo quando canceladas por solicitação do credenciado ou por iniciativa da BLL, devidamente justificado. </w:t>
      </w:r>
      <w:r/>
    </w:p>
    <w:p w14:paraId="39ABF3A2" w14:textId="77777777">
      <w:pPr>
        <w:pBdr/>
        <w:spacing/>
        <w:ind w:left="284"/>
        <w:jc w:val="both"/>
        <w:rPr>
          <w:rFonts w:ascii="Arial" w:cs="Arial"/>
          <w:b/>
        </w:rPr>
      </w:pPr>
      <w:r>
        <w:rPr>
          <w:rFonts w:ascii="Arial" w:cs="Arial"/>
          <w:b/>
        </w:rPr>
      </w:r>
      <w:r>
        <w:rPr>
          <w:rFonts w:ascii="Arial" w:cs="Arial"/>
          <w:b/>
        </w:rPr>
      </w:r>
    </w:p>
    <w:p w14:paraId="14AE5423" w14:textId="77777777">
      <w:pPr>
        <w:pBdr/>
        <w:spacing/>
        <w:ind/>
        <w:jc w:val="both"/>
        <w:rPr/>
      </w:pPr>
      <w:r>
        <w:rPr>
          <w:rFonts w:ascii="Arial" w:hAnsi="Arial" w:cs="Arial"/>
          <w:b/>
          <w:sz w:val="19"/>
          <w:szCs w:val="19"/>
        </w:rPr>
        <w:t xml:space="preserve">5.4.</w:t>
      </w:r>
      <w:r>
        <w:rPr>
          <w:rFonts w:ascii="Arial" w:hAnsi="Arial" w:cs="Arial"/>
          <w:sz w:val="19"/>
          <w:szCs w:val="19"/>
        </w:rPr>
        <w:t xml:space="preserve"> É de exclusiva responsabilidade do usuário o sigilo da se</w:t>
      </w:r>
      <w:r>
        <w:rPr>
          <w:rFonts w:ascii="Arial" w:hAnsi="Arial" w:cs="Arial"/>
          <w:sz w:val="19"/>
          <w:szCs w:val="19"/>
        </w:rPr>
        <w:t xml:space="preserve">nha, bem como seu uso em qualquer transação efetuada diretamente ou por seu representante, não cabendo à Prefeitura Municipal de Rondonópolis-MT e/ou BLL, a responsabilidade por eventuais danos decorrentes de uso indevido da senha, ainda que por terceiros.</w:t>
      </w:r>
      <w:r/>
    </w:p>
    <w:p w14:paraId="7EDE84B9" w14:textId="77777777">
      <w:pPr>
        <w:pBdr/>
        <w:spacing/>
        <w:ind w:left="284"/>
        <w:jc w:val="both"/>
        <w:rPr/>
      </w:pPr>
      <w:r>
        <w:rPr>
          <w:rFonts w:ascii="Arial" w:hAnsi="Arial" w:cs="Arial"/>
        </w:rPr>
        <w:t xml:space="preserve"> </w:t>
      </w:r>
      <w:r/>
    </w:p>
    <w:p w14:paraId="3996AE62" w14:textId="77777777">
      <w:pPr>
        <w:pBdr/>
        <w:spacing/>
        <w:ind/>
        <w:jc w:val="both"/>
        <w:rPr/>
      </w:pPr>
      <w:r>
        <w:rPr>
          <w:rFonts w:ascii="Arial" w:hAnsi="Arial" w:cs="Arial"/>
          <w:b/>
        </w:rPr>
        <w:t xml:space="preserve">5.5.</w:t>
      </w:r>
      <w:r>
        <w:rPr>
          <w:rFonts w:ascii="Arial" w:hAnsi="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p>
    <w:p w14:paraId="64ACC522" w14:textId="77777777">
      <w:pPr>
        <w:pBdr/>
        <w:spacing/>
        <w:ind w:left="284"/>
        <w:jc w:val="both"/>
        <w:rPr>
          <w:rFonts w:ascii="Arial" w:cs="Arial"/>
          <w:b/>
        </w:rPr>
      </w:pPr>
      <w:r>
        <w:rPr>
          <w:rFonts w:ascii="Arial" w:cs="Arial"/>
          <w:b/>
        </w:rPr>
      </w:r>
      <w:r>
        <w:rPr>
          <w:rFonts w:ascii="Arial" w:cs="Arial"/>
          <w:b/>
        </w:rPr>
      </w:r>
    </w:p>
    <w:p w14:paraId="531399E5" w14:textId="77777777">
      <w:pPr>
        <w:pBdr/>
        <w:spacing/>
        <w:ind/>
        <w:jc w:val="both"/>
        <w:rPr/>
      </w:pPr>
      <w:r>
        <w:rPr>
          <w:rFonts w:ascii="Arial" w:hAnsi="Arial" w:cs="Arial"/>
          <w:b/>
        </w:rPr>
        <w:t xml:space="preserve">5.6.</w:t>
      </w:r>
      <w:r>
        <w:rPr>
          <w:rFonts w:ascii="Arial" w:hAnsi="Arial" w:cs="Arial"/>
        </w:rPr>
        <w:t xml:space="preserve"> Como requisito para participação deste Pregão Eletrônico, o Licitante deverá manifestar, em campo próprio do Sistema BLL, que sua proposta</w:t>
      </w:r>
      <w:r>
        <w:rPr>
          <w:rFonts w:ascii="Arial" w:hAnsi="Arial" w:cs="Arial"/>
        </w:rPr>
        <w:t xml:space="preserve"> se encontra em conformidade com as exigências previstas e cumpre plenamente os requisitos de habilitação deste Edital, ressalvados os casos de participação de microempresa e de empresa de pequeno porte, no que concerne a regularidade fiscal e trabalhista.</w:t>
      </w:r>
      <w:r/>
    </w:p>
    <w:p w14:paraId="3203B94A" w14:textId="77777777">
      <w:pPr>
        <w:pBdr/>
        <w:spacing/>
        <w:ind/>
        <w:jc w:val="both"/>
        <w:rPr>
          <w:rFonts w:ascii="Arial" w:cs="Arial"/>
          <w:sz w:val="16"/>
          <w:szCs w:val="16"/>
        </w:rPr>
      </w:pPr>
      <w:r>
        <w:rPr>
          <w:rFonts w:ascii="Arial" w:cs="Arial"/>
          <w:sz w:val="16"/>
          <w:szCs w:val="16"/>
        </w:rPr>
      </w:r>
      <w:r>
        <w:rPr>
          <w:rFonts w:ascii="Arial" w:cs="Arial"/>
          <w:sz w:val="16"/>
          <w:szCs w:val="16"/>
        </w:rPr>
      </w:r>
    </w:p>
    <w:p w14:paraId="53E81037" w14:textId="77777777">
      <w:pPr>
        <w:pBdr/>
        <w:spacing/>
        <w:ind/>
        <w:jc w:val="both"/>
        <w:rPr/>
      </w:pPr>
      <w:r>
        <w:rPr>
          <w:rFonts w:ascii="Arial" w:hAnsi="Arial" w:cs="Arial"/>
          <w:b/>
        </w:rPr>
        <w:t xml:space="preserve">5.7</w:t>
      </w:r>
      <w:r>
        <w:rPr>
          <w:rFonts w:ascii="Arial" w:cs="Arial"/>
          <w:b/>
        </w:rPr>
        <w:t xml:space="preserve">.</w:t>
      </w:r>
      <w:r>
        <w:rPr>
          <w:rFonts w:ascii="Arial" w:hAnsi="Arial" w:cs="Arial"/>
        </w:rPr>
        <w:t xml:space="preserve"> É vedado a qualquer credenciado representar mais de uma empresa proponente, salvo, nos casos de representação para itens/lotes distintos.</w:t>
      </w:r>
      <w:r/>
    </w:p>
    <w:p w14:paraId="08C30100" w14:textId="77777777">
      <w:pPr>
        <w:pBdr/>
        <w:spacing/>
        <w:ind w:left="284"/>
        <w:jc w:val="both"/>
        <w:rPr>
          <w:rFonts w:ascii="Arial" w:cs="Arial"/>
        </w:rPr>
      </w:pPr>
      <w:r>
        <w:rPr>
          <w:rFonts w:ascii="Arial" w:cs="Arial"/>
        </w:rPr>
      </w:r>
      <w:r>
        <w:rPr>
          <w:rFonts w:ascii="Arial" w:cs="Arial"/>
        </w:rPr>
      </w:r>
    </w:p>
    <w:p w14:paraId="3C0A0982" w14:textId="77777777">
      <w:pPr>
        <w:pStyle w:val="873"/>
        <w:pBdr/>
        <w:spacing w:after="0" w:before="0"/>
        <w:ind/>
        <w:rPr>
          <w:lang w:val="pt-BR"/>
        </w:rPr>
      </w:pPr>
      <w:r/>
      <w:bookmarkStart w:id="22" w:name="_Toc135469225_Copia_1"/>
      <w:r/>
      <w:bookmarkStart w:id="23" w:name="_Toc5146"/>
      <w:r/>
      <w:bookmarkEnd w:id="22"/>
      <w:r>
        <w:rPr>
          <w:sz w:val="20"/>
          <w:lang w:val="pt-BR"/>
        </w:rPr>
        <w:t xml:space="preserve">6. </w:t>
      </w:r>
      <w:bookmarkStart w:id="24" w:name="_Toc135469225"/>
      <w:r>
        <w:rPr>
          <w:sz w:val="20"/>
          <w:lang w:val="pt-BR"/>
        </w:rPr>
        <w:t xml:space="preserve">DA PARTICIPAÇÃO NA LICITAÇÃO</w:t>
      </w:r>
      <w:bookmarkEnd w:id="24"/>
      <w:r>
        <w:rPr>
          <w:sz w:val="20"/>
          <w:lang w:val="pt-BR"/>
        </w:rPr>
        <w:t xml:space="preserve"> E CADASTRO DA PROPOSTA NO SISTEMA BLL:</w:t>
      </w:r>
      <w:bookmarkEnd w:id="23"/>
      <w:r/>
      <w:r>
        <w:rPr>
          <w:lang w:val="pt-BR"/>
        </w:rPr>
      </w:r>
    </w:p>
    <w:p w14:paraId="681B9604" w14:textId="77777777">
      <w:pPr>
        <w:pBdr/>
        <w:spacing/>
        <w:ind/>
        <w:jc w:val="both"/>
        <w:rPr>
          <w:rFonts w:ascii="Arial" w:cs="Arial"/>
          <w:b/>
          <w:sz w:val="16"/>
          <w:szCs w:val="16"/>
        </w:rPr>
      </w:pPr>
      <w:r>
        <w:rPr>
          <w:rFonts w:ascii="Arial" w:cs="Arial"/>
          <w:b/>
          <w:sz w:val="16"/>
          <w:szCs w:val="16"/>
        </w:rPr>
      </w:r>
      <w:r>
        <w:rPr>
          <w:rFonts w:ascii="Arial" w:cs="Arial"/>
          <w:b/>
          <w:sz w:val="16"/>
          <w:szCs w:val="16"/>
        </w:rPr>
      </w:r>
    </w:p>
    <w:p w14:paraId="055716D6" w14:textId="77777777">
      <w:pPr>
        <w:pBdr/>
        <w:spacing/>
        <w:ind/>
        <w:jc w:val="both"/>
        <w:rPr/>
      </w:pPr>
      <w:r>
        <w:rPr>
          <w:rFonts w:ascii="Arial" w:hAnsi="Arial" w:cs="Arial"/>
        </w:rPr>
        <w:t xml:space="preserve">6.1. Não haverá a possibilidade de o licitante oferecer proposta em quantitativo inferior ao máximo previsto no edital, obrigando-se nos limites dele (art. 82, IV da Lei 14.133/2021 e art. 301, IX do Decreto 11.685/2023).</w:t>
      </w:r>
      <w:r/>
    </w:p>
    <w:p w14:paraId="7913BB1F" w14:textId="77777777">
      <w:pPr>
        <w:pBdr/>
        <w:tabs>
          <w:tab w:val="left" w:leader="none" w:pos="2670"/>
        </w:tabs>
        <w:spacing/>
        <w:ind/>
        <w:jc w:val="both"/>
        <w:rPr/>
      </w:pPr>
      <w:r>
        <w:rPr>
          <w:rFonts w:ascii="Arial" w:cs="Arial"/>
        </w:rPr>
        <w:tab/>
      </w:r>
      <w:r/>
    </w:p>
    <w:p w14:paraId="04FE9AFD" w14:textId="181E4726">
      <w:pPr>
        <w:pBdr/>
        <w:spacing/>
        <w:ind/>
        <w:jc w:val="both"/>
        <w:rPr>
          <w:rFonts w:ascii="Arial" w:hAnsi="Arial" w:cs="Arial"/>
        </w:rPr>
      </w:pPr>
      <w:r>
        <w:rPr>
          <w:rFonts w:ascii="Arial" w:hAnsi="Arial" w:cs="Arial"/>
        </w:rPr>
        <w:t xml:space="preserve">6.2. As propostas deverão ser cadastradas com base no percentual de desconto a ser aplicado sobre o preço médio de mercado, apurado pela equipe da </w:t>
      </w:r>
      <w:r>
        <w:rPr>
          <w:rFonts w:ascii="Arial" w:hAnsi="Arial" w:cs="Arial"/>
        </w:rPr>
        <w:t xml:space="preserve">secretaria de promoção e assistência social</w:t>
      </w:r>
      <w:r>
        <w:rPr>
          <w:rFonts w:ascii="Arial" w:hAnsi="Arial" w:cs="Arial"/>
        </w:rPr>
        <w:t xml:space="preserve">, para a cidade de Rondonópolis – MT. </w:t>
      </w:r>
      <w:r>
        <w:rPr>
          <w:rFonts w:ascii="Arial" w:hAnsi="Arial" w:cs="Arial"/>
        </w:rPr>
      </w:r>
    </w:p>
    <w:p w14:paraId="368C7FCD" w14:textId="77777777">
      <w:pPr>
        <w:pBdr/>
        <w:spacing/>
        <w:ind/>
        <w:jc w:val="both"/>
        <w:rPr>
          <w:rFonts w:ascii="Arial" w:cs="Arial"/>
        </w:rPr>
      </w:pPr>
      <w:r>
        <w:rPr>
          <w:rFonts w:ascii="Arial" w:cs="Arial"/>
        </w:rPr>
      </w:r>
      <w:r>
        <w:rPr>
          <w:rFonts w:ascii="Arial" w:cs="Arial"/>
        </w:rPr>
      </w:r>
    </w:p>
    <w:p w14:paraId="470FB589" w14:textId="59460FEA">
      <w:pPr>
        <w:pStyle w:val="1120"/>
        <w:widowControl w:val="false"/>
        <w:numPr>
          <w:ilvl w:val="0"/>
          <w:numId w:val="2"/>
        </w:numPr>
        <w:pBdr/>
        <w:tabs>
          <w:tab w:val="left" w:leader="none" w:pos="388"/>
        </w:tabs>
        <w:spacing w:line="244" w:lineRule="auto"/>
        <w:ind w:right="147" w:firstLine="0"/>
        <w:jc w:val="both"/>
        <w:rPr>
          <w:rFonts w:ascii="Arial" w:hAnsi="Arial" w:cs="Arial"/>
          <w:sz w:val="20"/>
        </w:rPr>
      </w:pPr>
      <w:r>
        <w:rPr>
          <w:rFonts w:ascii="Arial" w:hAnsi="Arial" w:cs="Arial"/>
          <w:sz w:val="20"/>
        </w:rPr>
        <w:t xml:space="preserve">Será permitida</w:t>
      </w:r>
      <w:r>
        <w:rPr>
          <w:rFonts w:ascii="Arial" w:hAnsi="Arial" w:cs="Arial"/>
          <w:spacing w:val="-1"/>
          <w:sz w:val="20"/>
        </w:rPr>
        <w:t xml:space="preserve"> </w:t>
      </w:r>
      <w:r>
        <w:rPr>
          <w:rFonts w:ascii="Arial" w:hAnsi="Arial" w:cs="Arial"/>
          <w:sz w:val="20"/>
        </w:rPr>
        <w:t xml:space="preserve">a</w:t>
      </w:r>
      <w:r>
        <w:rPr>
          <w:rFonts w:ascii="Arial" w:hAnsi="Arial" w:cs="Arial"/>
          <w:spacing w:val="-1"/>
          <w:sz w:val="20"/>
        </w:rPr>
        <w:t xml:space="preserve"> </w:t>
      </w:r>
      <w:r>
        <w:rPr>
          <w:rFonts w:ascii="Arial" w:hAnsi="Arial" w:cs="Arial"/>
          <w:sz w:val="20"/>
        </w:rPr>
        <w:t xml:space="preserve">cobrança</w:t>
      </w:r>
      <w:r>
        <w:rPr>
          <w:rFonts w:ascii="Arial" w:hAnsi="Arial" w:cs="Arial"/>
          <w:spacing w:val="-1"/>
          <w:sz w:val="20"/>
        </w:rPr>
        <w:t xml:space="preserve"> </w:t>
      </w:r>
      <w:r>
        <w:rPr>
          <w:rFonts w:ascii="Arial" w:hAnsi="Arial" w:cs="Arial"/>
          <w:sz w:val="20"/>
        </w:rPr>
        <w:t xml:space="preserve">de</w:t>
      </w:r>
      <w:r>
        <w:rPr>
          <w:rFonts w:ascii="Arial" w:hAnsi="Arial" w:cs="Arial"/>
          <w:spacing w:val="-1"/>
          <w:sz w:val="20"/>
        </w:rPr>
        <w:t xml:space="preserve"> </w:t>
      </w:r>
      <w:r>
        <w:rPr>
          <w:rFonts w:ascii="Arial" w:hAnsi="Arial" w:cs="Arial"/>
          <w:sz w:val="20"/>
        </w:rPr>
        <w:t xml:space="preserve">taxa</w:t>
      </w:r>
      <w:r>
        <w:rPr>
          <w:rFonts w:ascii="Arial" w:hAnsi="Arial" w:cs="Arial"/>
          <w:spacing w:val="-1"/>
          <w:sz w:val="20"/>
        </w:rPr>
        <w:t xml:space="preserve"> </w:t>
      </w:r>
      <w:r>
        <w:rPr>
          <w:rFonts w:ascii="Arial" w:hAnsi="Arial" w:cs="Arial"/>
          <w:sz w:val="20"/>
        </w:rPr>
        <w:t xml:space="preserve">secundária</w:t>
      </w:r>
      <w:r>
        <w:rPr>
          <w:rFonts w:ascii="Arial" w:hAnsi="Arial" w:cs="Arial"/>
          <w:spacing w:val="-1"/>
          <w:sz w:val="20"/>
        </w:rPr>
        <w:t xml:space="preserve"> </w:t>
      </w:r>
      <w:r>
        <w:rPr>
          <w:rFonts w:ascii="Arial" w:hAnsi="Arial" w:cs="Arial"/>
          <w:sz w:val="20"/>
        </w:rPr>
        <w:t xml:space="preserve">(credenciamento) da</w:t>
      </w:r>
      <w:r>
        <w:rPr>
          <w:rFonts w:ascii="Arial" w:hAnsi="Arial" w:cs="Arial"/>
          <w:spacing w:val="-1"/>
          <w:sz w:val="20"/>
        </w:rPr>
        <w:t xml:space="preserve"> </w:t>
      </w:r>
      <w:r>
        <w:rPr>
          <w:rFonts w:ascii="Arial" w:hAnsi="Arial" w:cs="Arial"/>
          <w:sz w:val="20"/>
        </w:rPr>
        <w:t xml:space="preserve">rede</w:t>
      </w:r>
      <w:r>
        <w:rPr>
          <w:rFonts w:ascii="Arial" w:hAnsi="Arial" w:cs="Arial"/>
          <w:spacing w:val="-1"/>
          <w:sz w:val="20"/>
        </w:rPr>
        <w:t xml:space="preserve"> </w:t>
      </w:r>
      <w:r>
        <w:rPr>
          <w:rFonts w:ascii="Arial" w:hAnsi="Arial" w:cs="Arial"/>
          <w:sz w:val="20"/>
        </w:rPr>
        <w:t xml:space="preserve">credenciada, desde que limitada ao porcentual de 10% (dez por cento), sobre o valor final de cada processo </w:t>
      </w:r>
      <w:r>
        <w:rPr>
          <w:rFonts w:ascii="Arial" w:hAnsi="Arial" w:cs="Arial"/>
          <w:sz w:val="20"/>
        </w:rPr>
        <w:t xml:space="preserve">ao objeto licitado </w:t>
      </w:r>
      <w:r>
        <w:rPr>
          <w:rFonts w:ascii="Arial" w:hAnsi="Arial" w:cs="Arial"/>
          <w:sz w:val="20"/>
        </w:rPr>
        <w:t xml:space="preserve">finalizado sobre as credenciadas.</w:t>
      </w:r>
      <w:r>
        <w:rPr>
          <w:rFonts w:ascii="Arial" w:hAnsi="Arial" w:cs="Arial"/>
          <w:sz w:val="20"/>
        </w:rPr>
      </w:r>
    </w:p>
    <w:p w14:paraId="40B42F59" w14:textId="77777777">
      <w:pPr>
        <w:pStyle w:val="1120"/>
        <w:widowControl w:val="false"/>
        <w:pBdr/>
        <w:tabs>
          <w:tab w:val="left" w:leader="none" w:pos="388"/>
        </w:tabs>
        <w:spacing w:line="244" w:lineRule="auto"/>
        <w:ind w:right="147" w:left="143"/>
        <w:jc w:val="both"/>
        <w:rPr>
          <w:rFonts w:ascii="Arial" w:hAnsi="Arial" w:cs="Arial"/>
          <w:sz w:val="20"/>
        </w:rPr>
      </w:pPr>
      <w:r>
        <w:rPr>
          <w:rFonts w:ascii="Arial" w:hAnsi="Arial" w:cs="Arial"/>
          <w:sz w:val="20"/>
        </w:rPr>
      </w:r>
      <w:r>
        <w:rPr>
          <w:rFonts w:ascii="Arial" w:hAnsi="Arial" w:cs="Arial"/>
          <w:sz w:val="20"/>
        </w:rPr>
      </w:r>
    </w:p>
    <w:p w14:paraId="5B89365B" w14:textId="77777777">
      <w:pPr>
        <w:pStyle w:val="1120"/>
        <w:widowControl w:val="false"/>
        <w:pBdr/>
        <w:tabs>
          <w:tab w:val="left" w:leader="none" w:pos="388"/>
        </w:tabs>
        <w:spacing w:line="244" w:lineRule="auto"/>
        <w:ind w:right="147" w:left="143"/>
        <w:jc w:val="both"/>
        <w:rPr>
          <w:rFonts w:ascii="Arial" w:hAnsi="Arial" w:cs="Arial"/>
          <w:sz w:val="20"/>
          <w:szCs w:val="20"/>
        </w:rPr>
      </w:pPr>
      <w:r>
        <w:rPr>
          <w:rFonts w:ascii="Arial" w:hAnsi="Arial" w:cs="Arial"/>
          <w:sz w:val="20"/>
          <w:szCs w:val="20"/>
        </w:rPr>
        <w:t xml:space="preserve">O TCU considera regular a</w:t>
      </w:r>
      <w:r>
        <w:rPr>
          <w:rFonts w:ascii="Arial" w:hAnsi="Arial" w:cs="Arial"/>
          <w:sz w:val="20"/>
          <w:szCs w:val="20"/>
        </w:rPr>
        <w:t xml:space="preserve"> inserção de fixação de limite para à taxa secundária ou taxa de credenciamento, por entender que tal regra se revela uma forma de aperfeiçoar o modelo de contratação, é o que se depreende do Acórdão nº 1.949/2021 do Processo 25.832/2021-2 - TCU – Plenário</w:t>
      </w:r>
      <w:r>
        <w:rPr>
          <w:rFonts w:ascii="Arial" w:hAnsi="Arial" w:cs="Arial"/>
          <w:sz w:val="20"/>
          <w:szCs w:val="20"/>
        </w:rPr>
        <w:br/>
      </w:r>
      <w:r>
        <w:rPr>
          <w:rFonts w:ascii="Arial" w:hAnsi="Arial" w:cs="Arial"/>
          <w:sz w:val="20"/>
          <w:szCs w:val="20"/>
        </w:rPr>
        <w:br/>
        <w:t xml:space="preserve">A fixação do limite visa assegurar a obtenção da proposta mais vantajosa, coibindo a apresentação de percentuais incompatíveis com a realidade de mercado ou que possam comprometer a execução contratual, </w:t>
      </w:r>
      <w:r>
        <w:rPr>
          <w:rFonts w:ascii="Arial" w:hAnsi="Arial" w:cs="Arial"/>
          <w:b/>
          <w:bCs/>
          <w:sz w:val="20"/>
          <w:szCs w:val="20"/>
        </w:rPr>
        <w:t xml:space="preserve">em conformidade com o entendimento do Tribunal de Contas da União, consubstanciado no Acórdão nº 1.949/2021 – Plenário (Processo nº 025.832/2021-2)</w:t>
      </w:r>
      <w:r>
        <w:rPr>
          <w:rFonts w:ascii="Arial" w:hAnsi="Arial" w:cs="Arial"/>
          <w:sz w:val="20"/>
          <w:szCs w:val="20"/>
        </w:rPr>
        <w:t xml:space="preserve">, que considerou </w:t>
      </w:r>
      <w:r>
        <w:rPr>
          <w:rFonts w:ascii="Arial" w:hAnsi="Arial" w:cs="Arial"/>
          <w:b/>
          <w:bCs/>
          <w:sz w:val="20"/>
          <w:szCs w:val="20"/>
        </w:rPr>
        <w:t xml:space="preserve">regular a inserção de limite à taxa de administração ou taxa secundária</w:t>
      </w:r>
      <w:r>
        <w:rPr>
          <w:rFonts w:ascii="Arial" w:hAnsi="Arial" w:cs="Arial"/>
          <w:sz w:val="20"/>
          <w:szCs w:val="20"/>
        </w:rPr>
        <w:t xml:space="preserve">, por entender que tal regra aperfeiçoa o modelo de contratação e reforça o controle de custos e a transparência na execução contratual.</w:t>
      </w:r>
      <w:r>
        <w:rPr>
          <w:rFonts w:ascii="Arial" w:hAnsi="Arial" w:cs="Arial"/>
          <w:sz w:val="20"/>
          <w:szCs w:val="20"/>
        </w:rPr>
      </w:r>
    </w:p>
    <w:p w14:paraId="39F736C6" w14:textId="77777777">
      <w:pPr>
        <w:pStyle w:val="1120"/>
        <w:widowControl w:val="false"/>
        <w:pBdr/>
        <w:tabs>
          <w:tab w:val="left" w:leader="none" w:pos="388"/>
        </w:tabs>
        <w:spacing w:line="244" w:lineRule="auto"/>
        <w:ind w:right="147" w:left="143"/>
        <w:jc w:val="both"/>
        <w:rPr>
          <w:rFonts w:ascii="Arial" w:hAnsi="Arial" w:cs="Arial"/>
          <w:sz w:val="20"/>
        </w:rPr>
      </w:pPr>
      <w:r>
        <w:rPr>
          <w:rFonts w:ascii="Arial" w:hAnsi="Arial" w:cs="Arial"/>
          <w:sz w:val="20"/>
        </w:rPr>
      </w:r>
      <w:r>
        <w:rPr>
          <w:rFonts w:ascii="Arial" w:hAnsi="Arial" w:cs="Arial"/>
          <w:sz w:val="20"/>
        </w:rPr>
      </w:r>
    </w:p>
    <w:p w14:paraId="5BFD0B1E" w14:textId="77777777">
      <w:pPr>
        <w:pStyle w:val="1120"/>
        <w:widowControl w:val="false"/>
        <w:numPr>
          <w:ilvl w:val="0"/>
          <w:numId w:val="2"/>
        </w:numPr>
        <w:pBdr/>
        <w:tabs>
          <w:tab w:val="left" w:leader="none" w:pos="394"/>
        </w:tabs>
        <w:spacing w:before="226" w:line="247" w:lineRule="auto"/>
        <w:ind w:right="143" w:firstLine="0"/>
        <w:jc w:val="both"/>
        <w:rPr>
          <w:rFonts w:ascii="Arial" w:hAnsi="Arial" w:cs="Arial"/>
          <w:sz w:val="20"/>
        </w:rPr>
      </w:pPr>
      <w:r>
        <w:rPr>
          <w:rFonts w:ascii="Arial" w:hAnsi="Arial" w:cs="Arial"/>
          <w:sz w:val="20"/>
        </w:rPr>
        <w:t xml:space="preserve">Não serão admitidas cobranças de taxas adicionais, tais como taxa de antecipação ou taxa de divulgação, entre outras.</w:t>
      </w:r>
      <w:r>
        <w:rPr>
          <w:rFonts w:ascii="Arial" w:hAnsi="Arial" w:cs="Arial"/>
          <w:sz w:val="20"/>
        </w:rPr>
      </w:r>
    </w:p>
    <w:p w14:paraId="15A058CA" w14:textId="77777777">
      <w:pPr>
        <w:pBdr/>
        <w:spacing/>
        <w:ind/>
        <w:jc w:val="both"/>
        <w:rPr/>
      </w:pPr>
      <w:r/>
      <w:r/>
    </w:p>
    <w:p w14:paraId="437AFD86" w14:textId="77777777">
      <w:pPr>
        <w:pBdr/>
        <w:spacing/>
        <w:ind w:left="426"/>
        <w:jc w:val="both"/>
        <w:rPr/>
      </w:pPr>
      <w:r>
        <w:rPr>
          <w:rFonts w:ascii="Arial" w:hAnsi="Arial" w:cs="Arial"/>
          <w:sz w:val="19"/>
          <w:szCs w:val="19"/>
        </w:rPr>
        <w:t xml:space="preserve">6.2.1. As propostas cadastradas divergentes ao solicitado no item 6.2 poderão serem desclassificadas, uma vez que dificulta a operacionalização do sistema em razão da classificação de ME, EPP. </w:t>
      </w:r>
      <w:r/>
    </w:p>
    <w:p w14:paraId="605CC3BC" w14:textId="77777777">
      <w:pPr>
        <w:pBdr/>
        <w:spacing/>
        <w:ind/>
        <w:jc w:val="both"/>
        <w:rPr>
          <w:rFonts w:ascii="Arial" w:cs="Arial"/>
        </w:rPr>
      </w:pPr>
      <w:r>
        <w:rPr>
          <w:rFonts w:ascii="Arial" w:cs="Arial"/>
        </w:rPr>
      </w:r>
      <w:r>
        <w:rPr>
          <w:rFonts w:ascii="Arial" w:cs="Arial"/>
        </w:rPr>
      </w:r>
    </w:p>
    <w:p w14:paraId="61CDFD21" w14:textId="77777777">
      <w:pPr>
        <w:pBdr/>
        <w:spacing/>
        <w:ind/>
        <w:jc w:val="both"/>
        <w:rPr/>
      </w:pPr>
      <w:r>
        <w:rPr>
          <w:rFonts w:ascii="Arial" w:hAnsi="Arial" w:cs="Arial"/>
        </w:rPr>
        <w:t xml:space="preserve">6.3. As propostas iniciais, bem como, todos os documentos exigidos para habilitação deverão serem cadastrados via sistema eletrônico na plataforma BLL.</w:t>
      </w:r>
      <w:r/>
    </w:p>
    <w:p w14:paraId="3674C22A" w14:textId="77777777">
      <w:pPr>
        <w:pBdr/>
        <w:spacing/>
        <w:ind/>
        <w:jc w:val="both"/>
        <w:rPr>
          <w:rFonts w:ascii="Arial" w:cs="Arial"/>
        </w:rPr>
      </w:pPr>
      <w:r>
        <w:rPr>
          <w:rFonts w:ascii="Arial" w:cs="Arial"/>
        </w:rPr>
      </w:r>
      <w:r>
        <w:rPr>
          <w:rFonts w:ascii="Arial" w:cs="Arial"/>
        </w:rPr>
      </w:r>
    </w:p>
    <w:p w14:paraId="3849A3AB" w14:textId="77777777">
      <w:pPr>
        <w:pBdr/>
        <w:spacing/>
        <w:ind/>
        <w:jc w:val="both"/>
        <w:rPr/>
      </w:pPr>
      <w:r>
        <w:rPr>
          <w:rFonts w:ascii="Arial" w:hAnsi="Arial" w:cs="Arial"/>
        </w:rPr>
        <w:t xml:space="preserve">6.4. A apresentação da(s) proposta(s) inicial(ais), bem como, os lances ofertados quando for o caso, demonstra que o licitante t</w:t>
      </w:r>
      <w:r>
        <w:rPr>
          <w:rFonts w:ascii="Arial" w:hAnsi="Arial" w:cs="Arial"/>
        </w:rPr>
        <w:t xml:space="preserve">em conhecimento do objeto, valor estimado devidamente descrito no formulário padrão da P.M.R. denominado de formação de preços e atendimento às exigências para habilitação, portanto, demostra pleno conhecimento das regras previstas no Edital e seus Anexos.</w:t>
      </w:r>
      <w:r/>
    </w:p>
    <w:p w14:paraId="7C18ABDD" w14:textId="77777777">
      <w:pPr>
        <w:pBdr/>
        <w:spacing/>
        <w:ind/>
        <w:jc w:val="both"/>
        <w:rPr>
          <w:rFonts w:ascii="Arial" w:cs="Arial"/>
        </w:rPr>
      </w:pPr>
      <w:r>
        <w:rPr>
          <w:rFonts w:ascii="Arial" w:cs="Arial"/>
        </w:rPr>
      </w:r>
      <w:r>
        <w:rPr>
          <w:rFonts w:ascii="Arial" w:cs="Arial"/>
        </w:rPr>
      </w:r>
    </w:p>
    <w:p w14:paraId="598627D5" w14:textId="77777777">
      <w:pPr>
        <w:pBdr/>
        <w:spacing/>
        <w:ind w:left="426"/>
        <w:jc w:val="both"/>
        <w:rPr/>
      </w:pPr>
      <w:r>
        <w:rPr>
          <w:rFonts w:ascii="Arial" w:hAnsi="Arial" w:cs="Arial"/>
          <w:sz w:val="19"/>
          <w:szCs w:val="19"/>
        </w:rPr>
        <w:t xml:space="preserve">6.4.1. A empresa/licitante será</w:t>
      </w:r>
      <w:r>
        <w:rPr>
          <w:rFonts w:ascii="Arial" w:hAnsi="Arial" w:cs="Arial"/>
          <w:sz w:val="19"/>
          <w:szCs w:val="19"/>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p>
    <w:p w14:paraId="0AB2FB9C" w14:textId="77777777">
      <w:pPr>
        <w:pBdr/>
        <w:spacing/>
        <w:ind/>
        <w:jc w:val="both"/>
        <w:rPr>
          <w:rFonts w:ascii="Arial" w:cs="Arial"/>
          <w:b/>
        </w:rPr>
      </w:pPr>
      <w:r>
        <w:rPr>
          <w:rFonts w:ascii="Arial" w:cs="Arial"/>
          <w:b/>
        </w:rPr>
      </w:r>
      <w:r>
        <w:rPr>
          <w:rFonts w:ascii="Arial" w:cs="Arial"/>
          <w:b/>
        </w:rPr>
      </w:r>
    </w:p>
    <w:p w14:paraId="0F6B525D" w14:textId="77777777">
      <w:pPr>
        <w:pBdr/>
        <w:spacing/>
        <w:ind/>
        <w:jc w:val="both"/>
        <w:rPr/>
      </w:pPr>
      <w:r>
        <w:rPr>
          <w:rFonts w:ascii="Arial" w:hAnsi="Arial" w:cs="Arial"/>
        </w:rPr>
        <w:t xml:space="preserve">6.5. Portanto, o licitante responsabiliza-se exclusiva e formalmente pelas transações efetuadas em seu nome, assume como firmes e verdadeiras suas propostas e seus lances, inclusiv</w:t>
      </w:r>
      <w:r>
        <w:rPr>
          <w:rFonts w:ascii="Arial" w:hAnsi="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p>
    <w:p w14:paraId="2343603A" w14:textId="77777777">
      <w:pPr>
        <w:pBdr/>
        <w:spacing/>
        <w:ind/>
        <w:jc w:val="both"/>
        <w:rPr>
          <w:rFonts w:ascii="Arial" w:cs="Arial"/>
          <w:b/>
        </w:rPr>
      </w:pPr>
      <w:r>
        <w:rPr>
          <w:rFonts w:ascii="Arial" w:cs="Arial"/>
          <w:b/>
        </w:rPr>
      </w:r>
      <w:r>
        <w:rPr>
          <w:rFonts w:ascii="Arial" w:cs="Arial"/>
          <w:b/>
        </w:rPr>
      </w:r>
    </w:p>
    <w:p w14:paraId="6ACF4B83" w14:textId="77777777">
      <w:pPr>
        <w:pBdr/>
        <w:spacing/>
        <w:ind/>
        <w:jc w:val="both"/>
        <w:rPr/>
      </w:pPr>
      <w:r>
        <w:rPr>
          <w:rFonts w:ascii="Arial" w:hAnsi="Arial" w:cs="Arial"/>
        </w:rPr>
        <w:t xml:space="preserve">6.6. Será concedido tratamento favorecido para as microempresas e empresas de pequeno porte, </w:t>
      </w:r>
      <w:r>
        <w:rPr>
          <w:rFonts w:ascii="Arial" w:hAnsi="Arial" w:cs="Arial"/>
          <w:color w:val="000000"/>
        </w:rPr>
        <w:t xml:space="preserve">para as sociedades cooperativas mencionadas no </w:t>
      </w:r>
      <w:hyperlink r:id="rId18" w:tooltip="http://www.planalto.gov.br/ccivil_03/_ato2019-2022/2021/lei/L14133.htm#art16" w:anchor="art16" w:history="1">
        <w:r>
          <w:rPr>
            <w:rFonts w:ascii="Arial" w:hAnsi="Arial" w:cs="Arial"/>
            <w:color w:val="000000"/>
            <w:u w:val="single"/>
          </w:rPr>
          <w:t xml:space="preserve">artigo 16 da Lei nº 14.133, de 2021</w:t>
        </w:r>
      </w:hyperlink>
      <w:r>
        <w:rPr>
          <w:rFonts w:ascii="Arial" w:hAnsi="Arial" w:cs="Arial"/>
        </w:rPr>
        <w:t xml:space="preserve">, para o agricultor familiar, o produtor rural pessoa física e para o microempreendedor individual - MEI, nos limites previstos da </w:t>
      </w:r>
      <w:hyperlink r:id="rId19" w:tooltip="https://www.planalto.gov.br/ccivil_03/leis/lcp/lcp123.htm" w:history="1">
        <w:r>
          <w:rPr>
            <w:rFonts w:ascii="Arial" w:hAnsi="Arial" w:cs="Arial"/>
            <w:color w:val="000000"/>
            <w:u w:val="single"/>
          </w:rPr>
          <w:t xml:space="preserve">Lei Complementar nº 123, de 2006</w:t>
        </w:r>
      </w:hyperlink>
      <w:r>
        <w:rPr>
          <w:rFonts w:ascii="Arial" w:hAnsi="Arial" w:cs="Arial"/>
        </w:rPr>
        <w:t xml:space="preserve"> e do Decreto n.º 8.538, de 2015.</w:t>
      </w:r>
      <w:r/>
    </w:p>
    <w:p w14:paraId="2D90D481" w14:textId="77777777">
      <w:pPr>
        <w:pStyle w:val="1424"/>
        <w:pBdr/>
        <w:spacing/>
        <w:ind w:left="284"/>
        <w:jc w:val="both"/>
        <w:rPr>
          <w:b/>
          <w:sz w:val="20"/>
          <w:szCs w:val="20"/>
        </w:rPr>
      </w:pPr>
      <w:r>
        <w:rPr>
          <w:b/>
          <w:sz w:val="20"/>
          <w:szCs w:val="20"/>
        </w:rPr>
      </w:r>
      <w:r>
        <w:rPr>
          <w:b/>
          <w:sz w:val="20"/>
          <w:szCs w:val="20"/>
        </w:rPr>
      </w:r>
    </w:p>
    <w:p w14:paraId="283532B4" w14:textId="77777777">
      <w:pPr>
        <w:pBdr/>
        <w:spacing/>
        <w:ind/>
        <w:jc w:val="both"/>
        <w:rPr/>
      </w:pPr>
      <w:r>
        <w:rPr>
          <w:rFonts w:ascii="Arial" w:hAnsi="Arial" w:cs="Arial"/>
          <w:b/>
        </w:rPr>
        <w:t xml:space="preserve">6.7. NA PROPOSTA DE PREÇOS DEVERÁ CONTER:</w:t>
      </w:r>
      <w:r/>
    </w:p>
    <w:p w14:paraId="1BE6F511" w14:textId="77777777">
      <w:pPr>
        <w:pBdr/>
        <w:spacing/>
        <w:ind w:left="426"/>
        <w:jc w:val="both"/>
        <w:rPr>
          <w:rFonts w:ascii="Arial" w:cs="Arial"/>
          <w:sz w:val="19"/>
          <w:szCs w:val="19"/>
        </w:rPr>
      </w:pPr>
      <w:r>
        <w:rPr>
          <w:rFonts w:ascii="Arial" w:cs="Arial"/>
          <w:sz w:val="19"/>
          <w:szCs w:val="19"/>
        </w:rPr>
      </w:r>
      <w:r>
        <w:rPr>
          <w:rFonts w:ascii="Arial" w:cs="Arial"/>
          <w:sz w:val="19"/>
          <w:szCs w:val="19"/>
        </w:rPr>
      </w:r>
    </w:p>
    <w:p w14:paraId="06544035" w14:textId="77777777">
      <w:pPr>
        <w:pBdr/>
        <w:spacing/>
        <w:ind w:left="426"/>
        <w:jc w:val="both"/>
        <w:rPr/>
      </w:pPr>
      <w:r>
        <w:rPr>
          <w:rFonts w:ascii="Arial" w:hAnsi="Arial" w:cs="Arial"/>
          <w:sz w:val="19"/>
          <w:szCs w:val="19"/>
        </w:rPr>
        <w:t xml:space="preserve">6.7.1. O prazo de eficácia da proposta, o qual não poderá ser inferior a 120 (cento e vinte) dias corridos, a contar da data da realização da sessão pública da licitação em epígrafe; </w:t>
      </w:r>
      <w:r/>
    </w:p>
    <w:p w14:paraId="692FD91D" w14:textId="77777777">
      <w:pPr>
        <w:pBdr/>
        <w:spacing/>
        <w:ind w:left="284"/>
        <w:jc w:val="both"/>
        <w:rPr>
          <w:rFonts w:ascii="Arial" w:cs="Arial"/>
          <w:b/>
        </w:rPr>
      </w:pPr>
      <w:r>
        <w:rPr>
          <w:rFonts w:ascii="Arial" w:cs="Arial"/>
          <w:b/>
        </w:rPr>
      </w:r>
      <w:r>
        <w:rPr>
          <w:rFonts w:ascii="Arial" w:cs="Arial"/>
          <w:b/>
        </w:rPr>
      </w:r>
    </w:p>
    <w:p w14:paraId="6BA91FA6" w14:textId="77777777">
      <w:pPr>
        <w:pBdr/>
        <w:spacing/>
        <w:ind w:left="426"/>
        <w:jc w:val="both"/>
        <w:rPr/>
      </w:pPr>
      <w:r>
        <w:rPr>
          <w:rFonts w:ascii="Arial" w:hAnsi="Arial" w:cs="Arial"/>
          <w:sz w:val="19"/>
          <w:szCs w:val="19"/>
        </w:rPr>
        <w:t xml:space="preserve">6.7.2. Os preços deverão ser cotados em moeda corrente nacional, expressos em algarismos e por extenso, sem previsão inflacionária. Em caso de divergência entre os valores unitários e totais, serão considerados os primeiros, e entr</w:t>
      </w:r>
      <w:r>
        <w:rPr>
          <w:rFonts w:ascii="Arial" w:hAnsi="Arial" w:cs="Arial"/>
          <w:sz w:val="19"/>
          <w:szCs w:val="19"/>
        </w:rPr>
        <w:t xml:space="preserve">e os valores expressos em algarismo e por extenso, será considerado este último, e estar inclusa, toda e qualquer despesas, tais como: fretes, encargos sociais e trabalhistas, seguros, tributos diretos e indiretos incidentes sobre o fornecimento do objeto;</w:t>
      </w:r>
      <w:r/>
    </w:p>
    <w:p w14:paraId="523015A5" w14:textId="77777777">
      <w:pPr>
        <w:pBdr/>
        <w:spacing/>
        <w:ind w:left="284"/>
        <w:jc w:val="both"/>
        <w:rPr>
          <w:rFonts w:ascii="Arial" w:cs="Arial"/>
        </w:rPr>
      </w:pPr>
      <w:r>
        <w:rPr>
          <w:rFonts w:ascii="Arial" w:cs="Arial"/>
        </w:rPr>
      </w:r>
      <w:r>
        <w:rPr>
          <w:rFonts w:ascii="Arial" w:cs="Arial"/>
        </w:rPr>
      </w:r>
    </w:p>
    <w:p w14:paraId="19BB3BFA" w14:textId="77777777">
      <w:pPr>
        <w:pBdr/>
        <w:spacing/>
        <w:ind w:left="426"/>
        <w:jc w:val="both"/>
        <w:rPr/>
      </w:pPr>
      <w:r>
        <w:rPr>
          <w:rFonts w:ascii="Arial" w:hAnsi="Arial" w:cs="Arial"/>
          <w:sz w:val="19"/>
          <w:szCs w:val="19"/>
        </w:rPr>
        <w:t xml:space="preserve">6.7.3. O Pregoeiro considerará erros de somatórios e outros aspectos que beneficiem a Administração Pública e não impliquem nulidade do procedimento, como sendo exigências formais e consequentemente classificará a empresa;</w:t>
      </w:r>
      <w:r/>
    </w:p>
    <w:p w14:paraId="3EF8A1EA" w14:textId="77777777">
      <w:pPr>
        <w:pBdr/>
        <w:spacing/>
        <w:ind w:left="284"/>
        <w:jc w:val="both"/>
        <w:rPr>
          <w:rFonts w:ascii="Arial" w:cs="Arial"/>
        </w:rPr>
      </w:pPr>
      <w:r>
        <w:rPr>
          <w:rFonts w:ascii="Arial" w:cs="Arial"/>
        </w:rPr>
      </w:r>
      <w:r>
        <w:rPr>
          <w:rFonts w:ascii="Arial" w:cs="Arial"/>
        </w:rPr>
      </w:r>
    </w:p>
    <w:p w14:paraId="63685B68" w14:textId="77777777">
      <w:pPr>
        <w:pBdr/>
        <w:spacing/>
        <w:ind w:left="426"/>
        <w:jc w:val="both"/>
        <w:rPr/>
      </w:pPr>
      <w:r>
        <w:rPr>
          <w:rFonts w:ascii="Arial" w:hAnsi="Arial" w:cs="Arial"/>
          <w:sz w:val="19"/>
          <w:szCs w:val="19"/>
        </w:rPr>
        <w:t xml:space="preserve">6.7.4. Deverá ser apresentada proposta que atenda todas as especificações do objeto solicitado, não poderão ser alteradas, sob pena de desclassificação;</w:t>
      </w:r>
      <w:r>
        <w:rPr>
          <w:rFonts w:ascii="Arial" w:hAnsi="Arial" w:cs="Arial"/>
        </w:rPr>
        <w:t xml:space="preserve"> </w:t>
      </w:r>
      <w:r/>
    </w:p>
    <w:p w14:paraId="358796F9" w14:textId="77777777">
      <w:pPr>
        <w:pBdr/>
        <w:spacing/>
        <w:ind w:left="284"/>
        <w:jc w:val="both"/>
        <w:rPr>
          <w:rFonts w:ascii="Arial" w:cs="Arial"/>
        </w:rPr>
      </w:pPr>
      <w:r>
        <w:rPr>
          <w:rFonts w:ascii="Arial" w:cs="Arial"/>
        </w:rPr>
      </w:r>
      <w:r>
        <w:rPr>
          <w:rFonts w:ascii="Arial" w:cs="Arial"/>
        </w:rPr>
      </w:r>
    </w:p>
    <w:p w14:paraId="2DB7A167" w14:textId="2FAF86D2">
      <w:pPr>
        <w:pBdr/>
        <w:spacing/>
        <w:ind w:left="426"/>
        <w:jc w:val="both"/>
        <w:rPr>
          <w:rFonts w:ascii="Arial" w:hAnsi="Arial"/>
          <w:color w:val="000000"/>
        </w:rPr>
      </w:pPr>
      <w:r>
        <w:rPr>
          <w:rFonts w:ascii="Arial" w:hAnsi="Arial" w:cs="Arial"/>
          <w:sz w:val="19"/>
          <w:szCs w:val="19"/>
        </w:rPr>
        <w:t xml:space="preserve">6.7.5. A quantidade máxima estimada de cada item que pode</w:t>
      </w:r>
      <w:r>
        <w:rPr>
          <w:rFonts w:ascii="Arial" w:hAnsi="Arial" w:cs="Arial"/>
          <w:sz w:val="19"/>
          <w:szCs w:val="19"/>
        </w:rPr>
        <w:t xml:space="preserve">rá ser adquirida pelo município aqui denominado órgão gerenciador é a constante no Anexo Itens do Pregão, tendo em vista que para este certame não haverá a possibilidade de contemplação para órgão não participante. (Art. 82, Inciso I, da Lei 14.133/2021). </w:t>
      </w:r>
      <w:r>
        <w:rPr>
          <w:rFonts w:ascii="Arial" w:hAnsi="Arial"/>
          <w:color w:val="000000"/>
        </w:rPr>
        <w:t xml:space="preserve">A quantidade mínima dependerá da demanda futura e, portanto, não é possível quantificá-la neste momento (Art. 82, incisos I e II, da Lei 14.133/2021).</w:t>
      </w:r>
      <w:r>
        <w:rPr>
          <w:rFonts w:ascii="Arial" w:hAnsi="Arial"/>
          <w:color w:val="000000"/>
        </w:rPr>
      </w:r>
    </w:p>
    <w:p w14:paraId="7BC18F80" w14:textId="77777777">
      <w:pPr>
        <w:pBdr/>
        <w:spacing/>
        <w:ind w:left="426"/>
        <w:jc w:val="both"/>
        <w:rPr>
          <w:rFonts w:ascii="Arial" w:hAnsi="Arial"/>
          <w:color w:val="000000"/>
        </w:rPr>
      </w:pPr>
      <w:r>
        <w:rPr>
          <w:rFonts w:ascii="Arial" w:hAnsi="Arial"/>
          <w:color w:val="000000"/>
        </w:rPr>
      </w:r>
      <w:r>
        <w:rPr>
          <w:rFonts w:ascii="Arial" w:hAnsi="Arial"/>
          <w:color w:val="000000"/>
        </w:rPr>
      </w:r>
    </w:p>
    <w:p w14:paraId="1316990B" w14:textId="77777777">
      <w:pPr>
        <w:pBdr/>
        <w:spacing/>
        <w:ind w:left="426"/>
        <w:jc w:val="both"/>
        <w:rPr/>
      </w:pPr>
      <w:r>
        <w:rPr>
          <w:rFonts w:ascii="Arial" w:hAnsi="Arial" w:cs="Arial"/>
          <w:b/>
          <w:bCs/>
          <w:sz w:val="19"/>
          <w:szCs w:val="19"/>
        </w:rPr>
        <w:t xml:space="preserve">6.</w:t>
      </w:r>
      <w:r>
        <w:rPr>
          <w:b/>
          <w:bCs/>
        </w:rPr>
        <w:t xml:space="preserve">7.5.1.</w:t>
      </w:r>
      <w:r>
        <w:t xml:space="preserve"> </w:t>
      </w:r>
      <w:r>
        <w:rPr>
          <w:rFonts w:ascii="Arial" w:hAnsi="Arial"/>
        </w:rPr>
        <w:t xml:space="preserve">Nos processos</w:t>
      </w:r>
      <w:r>
        <w:rPr>
          <w:rFonts w:ascii="Arial" w:hAnsi="Arial" w:eastAsia="Arial"/>
        </w:rPr>
        <w:t xml:space="preserve"> de Registro de Preços, a definição de uma quantidade </w:t>
      </w:r>
      <w:r>
        <w:rPr>
          <w:rFonts w:ascii="Arial" w:hAnsi="Arial" w:eastAsia="Arial"/>
          <w:b/>
          <w:bCs/>
        </w:rPr>
        <w:t xml:space="preserve">MÍNIMA</w:t>
      </w:r>
      <w:r>
        <w:rPr>
          <w:rFonts w:ascii="Arial" w:hAnsi="Arial" w:eastAsia="Arial"/>
        </w:rPr>
        <w:t xml:space="preserve"> é opcional , conform</w:t>
      </w:r>
      <w:r>
        <w:rPr>
          <w:rFonts w:ascii="Arial" w:hAnsi="Arial" w:eastAsia="Arial"/>
        </w:rPr>
        <w:t xml:space="preserve">e a Lei nº 14.133/2021. Essa definição seria justificável para estimular a competitividade, garantir a economia de escala ou adequar a logística do fornecimento, sendo que a ausência dessa previsão não obriga a Administração a comprar nenhum quantitativo. </w:t>
      </w:r>
      <w:r/>
    </w:p>
    <w:p w14:paraId="65CDCC24" w14:textId="77777777">
      <w:pPr>
        <w:pBdr/>
        <w:spacing/>
        <w:ind w:left="426"/>
        <w:jc w:val="both"/>
        <w:rPr>
          <w:rFonts w:ascii="Arial" w:hAnsi="Arial" w:cs="Arial"/>
          <w:highlight w:val="lightGray"/>
        </w:rPr>
      </w:pPr>
      <w:r>
        <w:rPr>
          <w:rFonts w:ascii="Arial" w:hAnsi="Arial" w:cs="Arial"/>
          <w:highlight w:val="lightGray"/>
        </w:rPr>
      </w:r>
      <w:r>
        <w:rPr>
          <w:rFonts w:ascii="Arial" w:hAnsi="Arial" w:cs="Arial"/>
          <w:highlight w:val="lightGray"/>
        </w:rPr>
      </w:r>
    </w:p>
    <w:p w14:paraId="19A9E085" w14:textId="123D806E">
      <w:pPr>
        <w:pBdr/>
        <w:spacing/>
        <w:ind w:left="426"/>
        <w:jc w:val="both"/>
        <w:rPr/>
      </w:pPr>
      <w:r>
        <w:rPr>
          <w:rFonts w:ascii="Arial" w:hAnsi="Arial" w:cs="Arial"/>
          <w:highlight w:val="lightGray"/>
        </w:rPr>
        <w:t xml:space="preserve">6.7.6. Não será permitida a possibilidade preços diferentes para um mesmo item neste processo licitatório.</w:t>
      </w:r>
      <w:r/>
    </w:p>
    <w:p w14:paraId="3AD85E63" w14:textId="77777777">
      <w:pPr>
        <w:pBdr/>
        <w:spacing/>
        <w:ind w:left="426"/>
        <w:jc w:val="both"/>
        <w:rPr>
          <w:rFonts w:ascii="Arial" w:hAnsi="Arial" w:cs="Arial"/>
          <w:color w:val="000000"/>
          <w:lang w:eastAsia="zh-CN"/>
        </w:rPr>
      </w:pPr>
      <w:r>
        <w:rPr>
          <w:rFonts w:ascii="Arial" w:hAnsi="Arial" w:cs="Arial"/>
          <w:color w:val="000000"/>
          <w:lang w:eastAsia="zh-CN"/>
        </w:rPr>
      </w:r>
      <w:r>
        <w:rPr>
          <w:rFonts w:ascii="Arial" w:hAnsi="Arial" w:cs="Arial"/>
          <w:color w:val="000000"/>
          <w:lang w:eastAsia="zh-CN"/>
        </w:rPr>
      </w:r>
    </w:p>
    <w:p w14:paraId="7DCF94AE" w14:textId="77777777">
      <w:pPr>
        <w:pBdr/>
        <w:spacing/>
        <w:ind w:left="426"/>
        <w:jc w:val="both"/>
        <w:rPr>
          <w:rFonts w:ascii="Arial" w:hAnsi="Arial" w:cs="Arial"/>
          <w:color w:val="000000"/>
          <w:lang w:eastAsia="zh-CN"/>
        </w:rPr>
      </w:pPr>
      <w:r>
        <w:rPr>
          <w:rFonts w:ascii="Arial" w:hAnsi="Arial" w:cs="Arial"/>
          <w:color w:val="000000"/>
          <w:lang w:eastAsia="zh-CN"/>
        </w:rPr>
      </w:r>
      <w:r>
        <w:rPr>
          <w:rFonts w:ascii="Arial" w:hAnsi="Arial" w:cs="Arial"/>
          <w:color w:val="000000"/>
          <w:lang w:eastAsia="zh-CN"/>
        </w:rPr>
      </w:r>
    </w:p>
    <w:p w14:paraId="3DADBE9B" w14:textId="05163ADF">
      <w:pPr>
        <w:pBdr/>
        <w:spacing/>
        <w:ind w:left="426"/>
        <w:jc w:val="both"/>
        <w:rPr/>
      </w:pPr>
      <w:r>
        <w:rPr>
          <w:rFonts w:ascii="Arial" w:hAnsi="Arial" w:cs="Arial"/>
          <w:color w:val="000000"/>
          <w:lang w:eastAsia="zh-CN"/>
        </w:rPr>
        <w:t xml:space="preserve">6.7.</w:t>
      </w:r>
      <w:r>
        <w:rPr>
          <w:rFonts w:ascii="Arial" w:hAnsi="Arial" w:cs="Arial"/>
          <w:color w:val="000000"/>
          <w:lang w:eastAsia="zh-CN"/>
        </w:rPr>
        <w:t xml:space="preserve">7</w:t>
      </w:r>
      <w:r>
        <w:rPr>
          <w:rFonts w:ascii="Arial" w:hAnsi="Arial" w:cs="Arial"/>
          <w:color w:val="000000"/>
          <w:lang w:eastAsia="zh-CN"/>
        </w:rPr>
        <w:t xml:space="preserve">. Marca e modelo (quando for o caso) do objeto licitado; </w:t>
      </w:r>
      <w:r/>
    </w:p>
    <w:p w14:paraId="4D761281" w14:textId="77777777">
      <w:pPr>
        <w:pBdr/>
        <w:spacing/>
        <w:ind w:left="284"/>
        <w:jc w:val="both"/>
        <w:rPr>
          <w:rFonts w:ascii="Arial" w:cs="Arial"/>
        </w:rPr>
      </w:pPr>
      <w:r>
        <w:rPr>
          <w:rFonts w:ascii="Arial" w:cs="Arial"/>
        </w:rPr>
      </w:r>
      <w:r>
        <w:rPr>
          <w:rFonts w:ascii="Arial" w:cs="Arial"/>
        </w:rPr>
      </w:r>
    </w:p>
    <w:p w14:paraId="45B0C2AB" w14:textId="77777777">
      <w:pPr>
        <w:pBdr/>
        <w:spacing/>
        <w:ind/>
        <w:jc w:val="both"/>
        <w:rPr/>
      </w:pPr>
      <w:r>
        <w:rPr>
          <w:rFonts w:ascii="Arial" w:hAnsi="Arial" w:cs="Arial"/>
        </w:rPr>
        <w:t xml:space="preserve">6.8. DA INDICAÇÃO DE MARCA PARADIGMA: </w:t>
      </w:r>
      <w:r/>
    </w:p>
    <w:p w14:paraId="2928F1DD" w14:textId="77777777">
      <w:pPr>
        <w:pBdr/>
        <w:spacing/>
        <w:ind w:left="284"/>
        <w:jc w:val="both"/>
        <w:rPr>
          <w:rFonts w:ascii="Arial" w:cs="Arial"/>
          <w:b/>
          <w:color w:val="000000"/>
        </w:rPr>
      </w:pPr>
      <w:r>
        <w:rPr>
          <w:rFonts w:ascii="Arial" w:cs="Arial"/>
          <w:b/>
          <w:color w:val="000000"/>
        </w:rPr>
      </w:r>
      <w:r>
        <w:rPr>
          <w:rFonts w:ascii="Arial" w:cs="Arial"/>
          <w:b/>
          <w:color w:val="000000"/>
        </w:rPr>
      </w:r>
    </w:p>
    <w:p w14:paraId="22D379AA" w14:textId="77777777">
      <w:pPr>
        <w:pBdr/>
        <w:spacing/>
        <w:ind w:left="426"/>
        <w:jc w:val="both"/>
        <w:rPr/>
      </w:pPr>
      <w:r>
        <w:rPr>
          <w:rFonts w:ascii="Arial" w:hAnsi="Arial" w:cs="Arial"/>
          <w:sz w:val="19"/>
          <w:szCs w:val="19"/>
        </w:rPr>
        <w:t xml:space="preserve">6.8.1. Não se aplica a indicação de marca paradigma tendo em vista a natureza do insumo objeto deste processo.</w:t>
      </w:r>
      <w:r/>
    </w:p>
    <w:p w14:paraId="25EF2216" w14:textId="77777777">
      <w:pPr>
        <w:pBdr/>
        <w:spacing/>
        <w:ind w:left="284"/>
        <w:jc w:val="both"/>
        <w:rPr>
          <w:rFonts w:ascii="Arial" w:cs="Arial"/>
          <w:color w:val="000000"/>
        </w:rPr>
      </w:pPr>
      <w:r>
        <w:rPr>
          <w:rFonts w:ascii="Arial" w:cs="Arial"/>
          <w:color w:val="000000"/>
        </w:rPr>
      </w:r>
      <w:r>
        <w:rPr>
          <w:rFonts w:ascii="Arial" w:cs="Arial"/>
          <w:color w:val="000000"/>
        </w:rPr>
      </w:r>
    </w:p>
    <w:p w14:paraId="61FB69BA" w14:textId="77777777">
      <w:pPr>
        <w:pBdr/>
        <w:spacing/>
        <w:ind w:left="284"/>
        <w:jc w:val="both"/>
        <w:rPr>
          <w:rFonts w:ascii="Arial" w:cs="Arial"/>
          <w:color w:val="000000"/>
        </w:rPr>
      </w:pPr>
      <w:r>
        <w:rPr>
          <w:rFonts w:ascii="Arial" w:cs="Arial"/>
          <w:color w:val="000000"/>
        </w:rPr>
      </w:r>
      <w:r>
        <w:rPr>
          <w:rFonts w:ascii="Arial" w:cs="Arial"/>
          <w:color w:val="000000"/>
        </w:rPr>
      </w:r>
    </w:p>
    <w:p w14:paraId="0513E635" w14:textId="77777777">
      <w:pPr>
        <w:pStyle w:val="873"/>
        <w:pBdr/>
        <w:spacing w:after="0" w:before="0"/>
        <w:ind/>
        <w:rPr>
          <w:lang w:val="pt-BR"/>
        </w:rPr>
      </w:pPr>
      <w:r/>
      <w:bookmarkStart w:id="25" w:name="_Toc4294"/>
      <w:r/>
      <w:bookmarkStart w:id="26" w:name="_Toc190764796"/>
      <w:r>
        <w:rPr>
          <w:sz w:val="20"/>
          <w:lang w:val="pt-BR"/>
        </w:rPr>
        <w:t xml:space="preserve">7. DA ANALISE INICIAL NA PROPOSTA DE PREÇOS NO MOMENTO DA SESSÃO:</w:t>
      </w:r>
      <w:bookmarkEnd w:id="25"/>
      <w:r/>
      <w:bookmarkEnd w:id="26"/>
      <w:r>
        <w:rPr>
          <w:sz w:val="20"/>
          <w:lang w:val="pt-BR"/>
        </w:rPr>
        <w:t xml:space="preserve"> </w:t>
      </w:r>
      <w:r>
        <w:rPr>
          <w:lang w:val="pt-BR"/>
        </w:rPr>
      </w:r>
    </w:p>
    <w:p w14:paraId="6773265D" w14:textId="77777777">
      <w:pPr>
        <w:pBdr/>
        <w:spacing/>
        <w:ind/>
        <w:jc w:val="both"/>
        <w:rPr>
          <w:rFonts w:ascii="Arial" w:cs="Arial"/>
          <w:b/>
        </w:rPr>
      </w:pPr>
      <w:r>
        <w:rPr>
          <w:rFonts w:ascii="Arial" w:cs="Arial"/>
          <w:b/>
        </w:rPr>
      </w:r>
      <w:r>
        <w:rPr>
          <w:rFonts w:ascii="Arial" w:cs="Arial"/>
          <w:b/>
        </w:rPr>
      </w:r>
    </w:p>
    <w:p w14:paraId="4793B6F2" w14:textId="77777777">
      <w:pPr>
        <w:pBdr/>
        <w:spacing/>
        <w:ind/>
        <w:jc w:val="both"/>
        <w:rPr/>
      </w:pPr>
      <w:r>
        <w:rPr>
          <w:rFonts w:ascii="Arial" w:hAnsi="Arial" w:cs="Arial"/>
          <w:b/>
        </w:rPr>
        <w:t xml:space="preserve">7.1.</w:t>
      </w:r>
      <w:r>
        <w:rPr>
          <w:rFonts w:ascii="Arial" w:hAnsi="Arial" w:cs="Arial"/>
        </w:rPr>
        <w:t xml:space="preserve"> Na data e horário previsto no ato c</w:t>
      </w:r>
      <w:r>
        <w:rPr>
          <w:rFonts w:ascii="Arial" w:hAnsi="Arial" w:cs="Arial"/>
        </w:rPr>
        <w:t xml:space="preserve">onvocatório terá início à sessão pública, nesse momento o sistema não identifica as empresas participantes as propostas aparecem em forma de número (participante 1, 2, e assim sucessivamente, no item seguinte o sistema alterna o número dos participantes). </w:t>
      </w:r>
      <w:r/>
    </w:p>
    <w:p w14:paraId="08DE30BE" w14:textId="77777777">
      <w:pPr>
        <w:pBdr/>
        <w:spacing/>
        <w:ind w:left="284"/>
        <w:jc w:val="both"/>
        <w:rPr>
          <w:rFonts w:ascii="Arial" w:cs="Arial"/>
        </w:rPr>
      </w:pPr>
      <w:r>
        <w:rPr>
          <w:rFonts w:ascii="Arial" w:cs="Arial"/>
        </w:rPr>
      </w:r>
      <w:r>
        <w:rPr>
          <w:rFonts w:ascii="Arial" w:cs="Arial"/>
        </w:rPr>
      </w:r>
    </w:p>
    <w:p w14:paraId="4F009FCC" w14:textId="77777777">
      <w:pPr>
        <w:pBdr/>
        <w:spacing/>
        <w:ind/>
        <w:jc w:val="both"/>
        <w:rPr/>
      </w:pPr>
      <w:r>
        <w:rPr>
          <w:rFonts w:ascii="Arial" w:hAnsi="Arial" w:cs="Arial"/>
          <w:b/>
          <w:sz w:val="19"/>
          <w:szCs w:val="19"/>
        </w:rPr>
        <w:t xml:space="preserve">7.2.</w:t>
      </w:r>
      <w:r>
        <w:rPr>
          <w:rFonts w:ascii="Arial" w:hAnsi="Arial" w:cs="Arial"/>
          <w:sz w:val="19"/>
          <w:szCs w:val="19"/>
        </w:rPr>
        <w:t xml:space="preserve"> O Pregoeiro após análise das propostas de preços apresentadas de forma eletrônica, </w:t>
      </w:r>
      <w:r>
        <w:rPr>
          <w:rFonts w:ascii="Arial" w:hAnsi="Arial" w:cs="Arial"/>
          <w:sz w:val="19"/>
          <w:szCs w:val="19"/>
          <w:u w:val="single"/>
        </w:rPr>
        <w:t xml:space="preserve">desclassificará aquelas que não estiverem em consonância com as regras estabelecidas no instrumento convocatório</w:t>
      </w:r>
      <w:r>
        <w:rPr>
          <w:rFonts w:ascii="Arial" w:hAnsi="Arial" w:cs="Arial"/>
          <w:sz w:val="19"/>
          <w:szCs w:val="19"/>
        </w:rPr>
        <w:t xml:space="preserve">, </w:t>
      </w:r>
      <w:r>
        <w:rPr>
          <w:rFonts w:ascii="Arial" w:hAnsi="Arial" w:cs="Arial"/>
          <w:color w:val="000000"/>
          <w:sz w:val="19"/>
          <w:szCs w:val="19"/>
        </w:rPr>
        <w:t xml:space="preserve">tais como: </w:t>
      </w:r>
      <w:r/>
    </w:p>
    <w:p w14:paraId="65FF267B" w14:textId="77777777">
      <w:pPr>
        <w:pBdr/>
        <w:spacing/>
        <w:ind w:left="284"/>
        <w:jc w:val="both"/>
        <w:rPr>
          <w:rFonts w:ascii="Arial" w:cs="Arial"/>
          <w:sz w:val="19"/>
          <w:szCs w:val="19"/>
        </w:rPr>
      </w:pPr>
      <w:r>
        <w:rPr>
          <w:rFonts w:ascii="Arial" w:cs="Arial"/>
          <w:sz w:val="19"/>
          <w:szCs w:val="19"/>
        </w:rPr>
      </w:r>
      <w:r>
        <w:rPr>
          <w:rFonts w:ascii="Arial" w:cs="Arial"/>
          <w:sz w:val="19"/>
          <w:szCs w:val="19"/>
        </w:rPr>
      </w:r>
    </w:p>
    <w:p w14:paraId="08742091" w14:textId="77777777">
      <w:pPr>
        <w:pBdr/>
        <w:spacing/>
        <w:ind w:left="284"/>
        <w:jc w:val="both"/>
        <w:rPr/>
      </w:pPr>
      <w:r>
        <w:rPr>
          <w:rFonts w:ascii="Arial" w:hAnsi="Arial" w:cs="Arial"/>
          <w:b/>
        </w:rPr>
        <w:t xml:space="preserve">7.2.1</w:t>
      </w:r>
      <w:r>
        <w:rPr>
          <w:rFonts w:ascii="Arial" w:hAnsi="Arial" w:cs="Arial"/>
        </w:rPr>
        <w:t xml:space="preserve">. Valores iguais a zero, erros e desvios nos preços de forma a suscitar dúbia interpretação; </w:t>
      </w:r>
      <w:r/>
    </w:p>
    <w:p w14:paraId="6A121305" w14:textId="77777777">
      <w:pPr>
        <w:pBdr/>
        <w:spacing/>
        <w:ind w:left="284"/>
        <w:jc w:val="both"/>
        <w:rPr>
          <w:rFonts w:ascii="Arial" w:cs="Arial"/>
          <w:b/>
        </w:rPr>
      </w:pPr>
      <w:r>
        <w:rPr>
          <w:rFonts w:ascii="Arial" w:cs="Arial"/>
          <w:b/>
        </w:rPr>
      </w:r>
      <w:r>
        <w:rPr>
          <w:rFonts w:ascii="Arial" w:cs="Arial"/>
          <w:b/>
        </w:rPr>
      </w:r>
    </w:p>
    <w:p w14:paraId="5270976F" w14:textId="77777777">
      <w:pPr>
        <w:pBdr/>
        <w:spacing/>
        <w:ind/>
        <w:jc w:val="both"/>
        <w:rPr/>
      </w:pPr>
      <w:r>
        <w:rPr>
          <w:rFonts w:ascii="Arial" w:hAnsi="Arial" w:cs="Arial"/>
          <w:b/>
        </w:rPr>
        <w:t xml:space="preserve">7.3.</w:t>
      </w:r>
      <w:r>
        <w:rPr>
          <w:rFonts w:ascii="Arial" w:hAnsi="Arial" w:cs="Arial"/>
        </w:rPr>
        <w:t xml:space="preserve"> A decisão sobre classificação ou desclassificação de propostas comerciais será disponibilizada no sistema eletrônico para acompanhamento em tempo real por todas as empresas licitantes. </w:t>
      </w:r>
      <w:r/>
    </w:p>
    <w:p w14:paraId="446E5763" w14:textId="77777777">
      <w:pPr>
        <w:pBdr/>
        <w:spacing/>
        <w:ind/>
        <w:jc w:val="both"/>
        <w:rPr>
          <w:rFonts w:ascii="Arial" w:cs="Arial"/>
        </w:rPr>
      </w:pPr>
      <w:r>
        <w:rPr>
          <w:rFonts w:ascii="Arial" w:cs="Arial"/>
        </w:rPr>
      </w:r>
      <w:r>
        <w:rPr>
          <w:rFonts w:ascii="Arial" w:cs="Arial"/>
        </w:rPr>
      </w:r>
    </w:p>
    <w:p w14:paraId="581B578A" w14:textId="77777777">
      <w:pPr>
        <w:pStyle w:val="1424"/>
        <w:pBdr/>
        <w:spacing/>
        <w:ind/>
        <w:jc w:val="both"/>
        <w:rPr>
          <w:b/>
          <w:color w:val="auto"/>
          <w:sz w:val="20"/>
          <w:szCs w:val="20"/>
        </w:rPr>
      </w:pPr>
      <w:r/>
      <w:bookmarkStart w:id="27" w:name="_Toc190764797"/>
      <w:r/>
      <w:bookmarkStart w:id="28" w:name="_Toc190332631"/>
      <w:r/>
      <w:bookmarkStart w:id="29" w:name="_Toc190764826"/>
      <w:r/>
      <w:bookmarkStart w:id="30" w:name="_Toc190700051"/>
      <w:r>
        <w:rPr>
          <w:b/>
          <w:color w:val="auto"/>
          <w:sz w:val="20"/>
          <w:szCs w:val="20"/>
        </w:rPr>
        <w:t xml:space="preserve">7.4. </w:t>
      </w:r>
      <w:bookmarkEnd w:id="27"/>
      <w:r/>
      <w:bookmarkEnd w:id="28"/>
      <w:r/>
      <w:bookmarkEnd w:id="29"/>
      <w:r/>
      <w:bookmarkEnd w:id="30"/>
      <w:r>
        <w:rPr>
          <w:b/>
          <w:color w:val="auto"/>
          <w:sz w:val="20"/>
          <w:szCs w:val="20"/>
        </w:rPr>
        <w:t xml:space="preserve">DA PROVA DE CONCEITO</w:t>
      </w:r>
      <w:r>
        <w:rPr>
          <w:b/>
          <w:color w:val="auto"/>
          <w:sz w:val="20"/>
          <w:szCs w:val="20"/>
        </w:rPr>
      </w:r>
    </w:p>
    <w:p w14:paraId="2BFA3C86" w14:textId="77777777">
      <w:pPr>
        <w:pStyle w:val="1424"/>
        <w:pBdr/>
        <w:spacing/>
        <w:ind/>
        <w:jc w:val="both"/>
        <w:rPr>
          <w:b/>
          <w:color w:val="auto"/>
          <w:sz w:val="20"/>
          <w:szCs w:val="20"/>
        </w:rPr>
      </w:pPr>
      <w:r>
        <w:rPr>
          <w:b/>
          <w:color w:val="auto"/>
          <w:sz w:val="20"/>
          <w:szCs w:val="20"/>
        </w:rPr>
        <w:t xml:space="preserve"> </w:t>
      </w:r>
      <w:r>
        <w:rPr>
          <w:b/>
          <w:color w:val="auto"/>
          <w:sz w:val="20"/>
          <w:szCs w:val="20"/>
        </w:rPr>
      </w:r>
    </w:p>
    <w:p w14:paraId="35FEC73C" w14:textId="161CEC3B">
      <w:pPr>
        <w:pStyle w:val="1424"/>
        <w:pBdr/>
        <w:spacing/>
        <w:ind/>
        <w:jc w:val="both"/>
        <w:rPr>
          <w:sz w:val="20"/>
          <w:szCs w:val="20"/>
        </w:rPr>
      </w:pPr>
      <w:r>
        <w:rPr>
          <w:b/>
          <w:sz w:val="20"/>
          <w:szCs w:val="20"/>
        </w:rPr>
        <w:t xml:space="preserve">7.4.1. </w:t>
      </w:r>
      <w:r>
        <w:rPr>
          <w:sz w:val="20"/>
          <w:szCs w:val="20"/>
        </w:rPr>
        <w:t xml:space="preserve">Após a fase de lances e classificação, a empresa que apresentar a melhor proposta, conforme o critério de julgamento estabelecido no edital, ser</w:t>
      </w:r>
      <w:r>
        <w:rPr>
          <w:sz w:val="20"/>
          <w:szCs w:val="20"/>
        </w:rPr>
        <w:t xml:space="preserve">á</w:t>
      </w:r>
      <w:r>
        <w:rPr>
          <w:sz w:val="20"/>
          <w:szCs w:val="20"/>
        </w:rPr>
        <w:t xml:space="preserve"> convocada, pelo Pregoeiro para realização de prova de conceito dos sistemas ofertados, com a finalidade de demonstrar o atendimento às funcionalidades descritas neste edital e neste Termo de Referência</w:t>
      </w:r>
      <w:r>
        <w:rPr>
          <w:sz w:val="20"/>
          <w:szCs w:val="20"/>
        </w:rPr>
        <w:t xml:space="preserve"> emanado pela equipe técnica</w:t>
      </w:r>
      <w:r>
        <w:rPr>
          <w:sz w:val="20"/>
          <w:szCs w:val="20"/>
        </w:rPr>
        <w:t xml:space="preserve">.</w:t>
      </w:r>
      <w:r>
        <w:rPr>
          <w:sz w:val="20"/>
          <w:szCs w:val="20"/>
        </w:rPr>
      </w:r>
    </w:p>
    <w:p w14:paraId="0A2E263C" w14:textId="77777777">
      <w:pPr>
        <w:pBdr/>
        <w:spacing/>
        <w:ind/>
        <w:jc w:val="both"/>
        <w:rPr>
          <w:rFonts w:ascii="Arial" w:hAnsi="Arial" w:cs="Arial"/>
        </w:rPr>
      </w:pPr>
      <w:r>
        <w:rPr>
          <w:rFonts w:ascii="Arial" w:hAnsi="Arial" w:cs="Arial"/>
        </w:rPr>
        <w:t xml:space="preserve">A prova de conceito limitar-se-á exclusivamente à verificação do atendimento às funcionalidades e requisitos técnicos previamente estabelecidos no edital e neste Termo de Referência, vedada a formulação de novas exigências, crit</w:t>
      </w:r>
      <w:r>
        <w:rPr>
          <w:rFonts w:ascii="Arial" w:hAnsi="Arial" w:cs="Arial"/>
        </w:rPr>
        <w:t xml:space="preserve">érios adicionais ou requisitos não expressamente previstos nos instrumentos convocatórios, sob pena de nulidade do ato, em observância aos princípios da vinculação ao instrumento convocatório, isonomia e julgamento objetivo previstos na Lei nº 14.133/2021.</w:t>
      </w:r>
      <w:r>
        <w:rPr>
          <w:rFonts w:ascii="Arial" w:hAnsi="Arial" w:cs="Arial"/>
        </w:rPr>
      </w:r>
    </w:p>
    <w:p w14:paraId="277D92AE" w14:textId="77777777">
      <w:pPr>
        <w:pBdr/>
        <w:spacing/>
        <w:ind/>
        <w:jc w:val="both"/>
        <w:rPr>
          <w:rFonts w:ascii="Arial" w:hAnsi="Arial" w:cs="Arial"/>
        </w:rPr>
      </w:pPr>
      <w:r>
        <w:rPr>
          <w:rFonts w:ascii="Arial" w:hAnsi="Arial" w:cs="Arial"/>
        </w:rPr>
        <w:t xml:space="preserve">Será nomeada comissão julgadora composta por, no mínimo, 02 (dois) membros, sendo ao menos um com conhecimento técnico compatível com a área de tecnologia da informação aplicada ao objeto contratado.</w:t>
      </w:r>
      <w:r>
        <w:rPr>
          <w:rFonts w:ascii="Arial" w:hAnsi="Arial" w:cs="Arial"/>
        </w:rPr>
      </w:r>
    </w:p>
    <w:p w14:paraId="1770F09C" w14:textId="333E35AF">
      <w:pPr>
        <w:pBdr/>
        <w:spacing/>
        <w:ind/>
        <w:jc w:val="both"/>
        <w:rPr>
          <w:rFonts w:ascii="Arial" w:hAnsi="Arial" w:cs="Arial"/>
        </w:rPr>
      </w:pPr>
      <w:r>
        <w:rPr>
          <w:rFonts w:ascii="Arial" w:hAnsi="Arial" w:cs="Arial"/>
        </w:rPr>
        <w:t xml:space="preserve">A prova de conceito será presencial, em data designada pelo Pregoeiro, no prazo de até </w:t>
      </w:r>
      <w:r>
        <w:rPr>
          <w:rFonts w:ascii="Arial" w:hAnsi="Arial" w:cs="Arial"/>
        </w:rPr>
        <w:t xml:space="preserve">07</w:t>
      </w:r>
      <w:r>
        <w:rPr>
          <w:rFonts w:ascii="Arial" w:hAnsi="Arial" w:cs="Arial"/>
        </w:rPr>
        <w:t xml:space="preserve"> (</w:t>
      </w:r>
      <w:r>
        <w:rPr>
          <w:rFonts w:ascii="Arial" w:hAnsi="Arial" w:cs="Arial"/>
        </w:rPr>
        <w:t xml:space="preserve">sete</w:t>
      </w:r>
      <w:r>
        <w:rPr>
          <w:rFonts w:ascii="Arial" w:hAnsi="Arial" w:cs="Arial"/>
        </w:rPr>
        <w:t xml:space="preserve">) dias úteis após o encerramento da fase competitiva, sendo comunicada à empresa classificada e às demais licitantes, que poderão acompanhar a demonstração.</w:t>
      </w:r>
      <w:r>
        <w:rPr>
          <w:rFonts w:ascii="Arial" w:hAnsi="Arial" w:cs="Arial"/>
        </w:rPr>
      </w:r>
    </w:p>
    <w:p w14:paraId="62CB4A84" w14:textId="77777777">
      <w:pPr>
        <w:pBdr/>
        <w:spacing w:line="360" w:lineRule="auto"/>
        <w:ind/>
        <w:jc w:val="both"/>
        <w:rPr>
          <w:rFonts w:ascii="Arial" w:hAnsi="Arial" w:cs="Arial"/>
        </w:rPr>
      </w:pPr>
      <w:r>
        <w:rPr>
          <w:rFonts w:ascii="Arial" w:hAnsi="Arial" w:cs="Arial"/>
        </w:rPr>
        <w:t xml:space="preserve">A empresa classificada deverá demonstrar o atendimento integral aos itens obrigatórios constantes no checklist.</w:t>
      </w:r>
      <w:r>
        <w:rPr>
          <w:rFonts w:ascii="Arial" w:hAnsi="Arial" w:cs="Arial"/>
        </w:rPr>
      </w:r>
    </w:p>
    <w:p w14:paraId="2BF68C7C" w14:textId="77777777">
      <w:pPr>
        <w:pBdr/>
        <w:spacing w:line="360" w:lineRule="auto"/>
        <w:ind/>
        <w:jc w:val="both"/>
        <w:rPr>
          <w:rFonts w:ascii="Arial" w:hAnsi="Arial" w:cs="Arial"/>
        </w:rPr>
      </w:pPr>
      <w:r>
        <w:rPr>
          <w:rFonts w:ascii="Arial" w:hAnsi="Arial" w:cs="Arial"/>
          <w:b/>
          <w:bCs/>
        </w:rPr>
        <w:t xml:space="preserve">a)</w:t>
      </w:r>
      <w:r>
        <w:rPr>
          <w:rFonts w:ascii="Arial" w:hAnsi="Arial" w:cs="Arial"/>
        </w:rPr>
        <w:t xml:space="preserve"> A Comissão informará previamente local, data e horário para realização da prova;</w:t>
      </w:r>
      <w:r>
        <w:rPr>
          <w:rFonts w:ascii="Arial" w:hAnsi="Arial" w:cs="Arial"/>
        </w:rPr>
      </w:r>
    </w:p>
    <w:p w14:paraId="2C78456B" w14:textId="77777777">
      <w:pPr>
        <w:pBdr/>
        <w:spacing w:line="360" w:lineRule="auto"/>
        <w:ind/>
        <w:jc w:val="both"/>
        <w:rPr>
          <w:rFonts w:ascii="Arial" w:hAnsi="Arial" w:cs="Arial"/>
        </w:rPr>
      </w:pPr>
      <w:r>
        <w:rPr>
          <w:rFonts w:ascii="Arial" w:hAnsi="Arial" w:cs="Arial"/>
          <w:b/>
          <w:bCs/>
        </w:rPr>
        <w:t xml:space="preserve">b)</w:t>
      </w:r>
      <w:r>
        <w:rPr>
          <w:rFonts w:ascii="Arial" w:hAnsi="Arial" w:cs="Arial"/>
        </w:rPr>
        <w:t xml:space="preserve"> O não atendimento integral aos requisitos obrigatórios implicará desclassificação motivada, com convocação da proposta subsequente, observada a ordem de classificação;</w:t>
      </w:r>
      <w:r>
        <w:rPr>
          <w:rFonts w:ascii="Arial" w:hAnsi="Arial" w:cs="Arial"/>
        </w:rPr>
      </w:r>
    </w:p>
    <w:p w14:paraId="1D0BE194" w14:textId="77777777">
      <w:pPr>
        <w:pBdr/>
        <w:spacing w:line="360" w:lineRule="auto"/>
        <w:ind/>
        <w:jc w:val="both"/>
        <w:rPr>
          <w:rFonts w:ascii="Arial" w:hAnsi="Arial" w:cs="Arial"/>
        </w:rPr>
      </w:pPr>
      <w:r>
        <w:rPr>
          <w:rFonts w:ascii="Arial" w:hAnsi="Arial" w:cs="Arial"/>
          <w:b/>
          <w:bCs/>
        </w:rPr>
        <w:t xml:space="preserve">c)</w:t>
      </w:r>
      <w:r>
        <w:rPr>
          <w:rFonts w:ascii="Arial" w:hAnsi="Arial" w:cs="Arial"/>
        </w:rPr>
        <w:t xml:space="preserve"> F</w:t>
      </w:r>
      <w:r>
        <w:rPr>
          <w:rFonts w:ascii="Arial" w:hAnsi="Arial" w:cs="Arial"/>
        </w:rPr>
        <w:t xml:space="preserve">ica vedada filmagem, gravação ou captura de dados do sistema apresentado, a fim de resguardar propriedade intelectual, segurança tecnológica e informações sensíveis, podendo as manifestações das licitantes ser formalizadas por escrito e juntadas aos autos;</w:t>
      </w:r>
      <w:r>
        <w:rPr>
          <w:rFonts w:ascii="Arial" w:hAnsi="Arial" w:cs="Arial"/>
        </w:rPr>
      </w:r>
    </w:p>
    <w:p w14:paraId="6BD9BE15" w14:textId="77777777">
      <w:pPr>
        <w:pBdr/>
        <w:spacing w:line="360" w:lineRule="auto"/>
        <w:ind/>
        <w:jc w:val="both"/>
        <w:rPr>
          <w:rFonts w:ascii="Arial" w:hAnsi="Arial" w:cs="Arial"/>
        </w:rPr>
      </w:pPr>
      <w:r>
        <w:rPr>
          <w:rFonts w:ascii="Arial" w:hAnsi="Arial" w:cs="Arial"/>
          <w:b/>
          <w:bCs/>
        </w:rPr>
        <w:t xml:space="preserve">d)</w:t>
      </w:r>
      <w:r>
        <w:rPr>
          <w:rFonts w:ascii="Arial" w:hAnsi="Arial" w:cs="Arial"/>
        </w:rPr>
        <w:t xml:space="preserve"> Cada empresa poderá indicar até dois representantes devidamente identificados para acompanhamento da demonstração.</w:t>
      </w:r>
      <w:r>
        <w:rPr>
          <w:rFonts w:ascii="Arial" w:hAnsi="Arial" w:cs="Arial"/>
        </w:rPr>
      </w:r>
    </w:p>
    <w:p w14:paraId="1B5E2B3C" w14:textId="77777777">
      <w:pPr>
        <w:pBdr/>
        <w:spacing w:line="360" w:lineRule="auto"/>
        <w:ind/>
        <w:jc w:val="both"/>
        <w:rPr>
          <w:rFonts w:ascii="Arial" w:hAnsi="Arial" w:cs="Arial"/>
        </w:rPr>
      </w:pPr>
      <w:r>
        <w:rPr>
          <w:rFonts w:ascii="Arial" w:hAnsi="Arial" w:cs="Arial"/>
        </w:rPr>
        <w:t xml:space="preserve">As funcionalidades obrigatórias e desejáveis a serem apresentadas encontram-se descritas no checklist específico integrante deste Termo de Referência.</w:t>
      </w:r>
      <w:r>
        <w:rPr>
          <w:rFonts w:ascii="Arial" w:hAnsi="Arial" w:cs="Arial"/>
        </w:rPr>
      </w:r>
    </w:p>
    <w:p w14:paraId="06AD5D2A" w14:textId="77777777">
      <w:pPr>
        <w:pBdr/>
        <w:spacing w:line="360" w:lineRule="auto"/>
        <w:ind/>
        <w:jc w:val="both"/>
        <w:rPr>
          <w:rFonts w:ascii="Arial" w:hAnsi="Arial" w:cs="Arial"/>
        </w:rPr>
      </w:pPr>
      <w:r>
        <w:rPr>
          <w:rFonts w:ascii="Arial" w:hAnsi="Arial" w:cs="Arial"/>
        </w:rPr>
      </w:r>
      <w:r>
        <w:rPr>
          <w:rFonts w:ascii="Arial" w:hAnsi="Arial" w:cs="Arial"/>
        </w:rPr>
      </w:r>
    </w:p>
    <w:tbl>
      <w:tblPr>
        <w:tblInd w:w="-8" w:type="dxa"/>
        <w:tblW w:w="10082" w:type="dxa"/>
        <w:tblCellMar>
          <w:left w:w="15" w:type="dxa"/>
          <w:top w:w="15" w:type="dxa"/>
          <w:right w:w="15" w:type="dxa"/>
          <w:bottom w:w="15" w:type="dxa"/>
        </w:tblCellMar>
        <w:tblBorders/>
        <w:tblCellSpacing w:w="0" w:type="dxa"/>
        <w:tblLook w:val="0000" w:firstRow="0" w:lastRow="0" w:firstColumn="0" w:lastColumn="0" w:noHBand="0" w:noVBand="0"/>
      </w:tblPr>
      <w:tblGrid>
        <w:gridCol w:w="6991"/>
        <w:gridCol w:w="1304"/>
        <w:gridCol w:w="849"/>
        <w:gridCol w:w="938"/>
      </w:tblGrid>
      <w:tr>
        <w:trPr>
          <w:tblCellSpacing w:w="0" w:type="dxa"/>
          <w:trHeight w:val="52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7EEFB54F"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Descrição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4D0BA1B7" w14:textId="77777777">
            <w:pPr>
              <w:pBdr/>
              <w:spacing/>
              <w:ind/>
              <w:jc w:val="center"/>
              <w:rPr>
                <w:rFonts w:ascii="Arial" w:hAnsi="Arial" w:eastAsia="Liberation Sans" w:cs="Arial"/>
              </w:rPr>
            </w:pPr>
            <w:r>
              <w:rPr>
                <w:rFonts w:ascii="Arial" w:hAnsi="Arial" w:eastAsia="Liberation Sans" w:cs="Arial"/>
                <w:b/>
                <w:bCs/>
                <w:color w:val="000000"/>
                <w:lang w:eastAsia="zh-CN" w:bidi="ar"/>
              </w:rPr>
              <w:t xml:space="preserve">Comprovar processo completo no sistema</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5247D9CC"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Atende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297B4BAA"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N/Atende</w:t>
            </w:r>
            <w:r>
              <w:rPr>
                <w:rFonts w:ascii="Arial" w:hAnsi="Arial" w:eastAsia="Liberation Sans" w:cs="Arial"/>
              </w:rPr>
            </w:r>
          </w:p>
        </w:tc>
      </w:tr>
      <w:tr>
        <w:trPr>
          <w:tblCellSpacing w:w="0" w:type="dxa"/>
          <w:trHeight w:val="108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4301908" w14:textId="77777777">
            <w:pPr>
              <w:pBdr/>
              <w:spacing/>
              <w:ind/>
              <w:rPr>
                <w:rFonts w:ascii="Arial" w:hAnsi="Arial" w:eastAsia="Liberation Sans" w:cs="Arial"/>
              </w:rPr>
            </w:pPr>
            <w:r>
              <w:rPr>
                <w:rFonts w:ascii="Arial" w:hAnsi="Arial" w:eastAsia="Liberation Sans" w:cs="Arial"/>
                <w:color w:val="000000"/>
                <w:lang w:eastAsia="zh-CN" w:bidi="ar"/>
              </w:rPr>
              <w:t xml:space="preserve">Cadastrar um gestor on-line e real time, det</w:t>
            </w:r>
            <w:r>
              <w:rPr>
                <w:rFonts w:ascii="Arial" w:hAnsi="Arial" w:eastAsia="Liberation Sans" w:cs="Arial"/>
                <w:color w:val="000000"/>
                <w:lang w:eastAsia="zh-CN" w:bidi="ar"/>
              </w:rPr>
              <w:t xml:space="preserve">erminando e atribuindo um centro de custo vinculado à operacionalização do Benefício Eventual – Auxílio Natalidade, depois acessar ao sistema com os dados cadastrados, comprovando acesso, incluindo limite, bloqueando usuário e demonstrando registro em log.</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343D255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28CE67D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172E99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1C591659" w14:textId="77777777">
            <w:pPr>
              <w:pBdr/>
              <w:spacing/>
              <w:ind/>
              <w:rPr>
                <w:rFonts w:ascii="Arial" w:hAnsi="Arial" w:eastAsia="Liberation Sans" w:cs="Arial"/>
              </w:rPr>
            </w:pPr>
            <w:r>
              <w:rPr>
                <w:rFonts w:ascii="Arial" w:hAnsi="Arial" w:eastAsia="Liberation Sans" w:cs="Arial"/>
                <w:color w:val="000000"/>
                <w:lang w:eastAsia="zh-CN" w:bidi="ar"/>
              </w:rPr>
              <w:t xml:space="preserve">Ser acessível via WEB (on-line), 24 horas por dia, 7 dias por semana, em navegadores padrão de mercado como Mozilla Firefox ou Google Chrome.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0BB025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415596D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0B878B8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8ED34F3" w14:textId="77777777">
            <w:pPr>
              <w:pBdr/>
              <w:spacing/>
              <w:ind/>
              <w:rPr>
                <w:rFonts w:ascii="Arial" w:hAnsi="Arial" w:eastAsia="Liberation Sans" w:cs="Arial"/>
              </w:rPr>
            </w:pPr>
            <w:r>
              <w:rPr>
                <w:rFonts w:ascii="Arial" w:hAnsi="Arial" w:eastAsia="Liberation Sans" w:cs="Arial"/>
                <w:color w:val="000000"/>
                <w:lang w:eastAsia="zh-CN" w:bidi="ar"/>
              </w:rPr>
              <w:t xml:space="preserve">O sistema tecnológico deverá suportar cadastramento de usuários distribuídos em níveis hierárquicos conforme funções da Contratante, com login e senha pessoal e autenticação biométrica facial.</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7F150DA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65BA263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1592F1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10FB91D4" w14:textId="77777777">
            <w:pPr>
              <w:pBdr/>
              <w:spacing/>
              <w:ind/>
              <w:rPr>
                <w:rFonts w:ascii="Arial" w:hAnsi="Arial" w:eastAsia="Liberation Sans" w:cs="Arial"/>
              </w:rPr>
            </w:pPr>
            <w:r>
              <w:rPr>
                <w:rFonts w:ascii="Arial" w:hAnsi="Arial" w:eastAsia="Liberation Sans" w:cs="Arial"/>
                <w:color w:val="000000"/>
                <w:lang w:eastAsia="zh-CN" w:bidi="ar"/>
              </w:rPr>
              <w:t xml:space="preserve">Em caso de perda, extravio, furto ou roubo do cartão do Benefício Eventual – Auxílio Natalidade, a contratada deverá possibilitar cancelamento imediato e teste no POS com bloqueio on-line.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1E162F0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5416340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72D68AE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22097481" w14:textId="77777777">
            <w:pPr>
              <w:pBdr/>
              <w:spacing/>
              <w:ind/>
              <w:rPr>
                <w:rFonts w:ascii="Arial" w:hAnsi="Arial" w:eastAsia="Liberation Sans" w:cs="Arial"/>
              </w:rPr>
            </w:pPr>
            <w:r>
              <w:rPr>
                <w:rFonts w:ascii="Arial" w:hAnsi="Arial" w:eastAsia="Liberation Sans" w:cs="Arial"/>
                <w:color w:val="000000"/>
                <w:lang w:eastAsia="zh-CN" w:bidi="ar"/>
              </w:rPr>
              <w:t xml:space="preserve">Comprovação dos itens de segurança mínimos exigidos para execução do objeto contratado, mediante sistema, documentos e certificados.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FC743A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A7ACF0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4663C2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608C267B" w14:textId="77777777">
            <w:pPr>
              <w:pBdr/>
              <w:spacing/>
              <w:ind/>
              <w:rPr>
                <w:rFonts w:ascii="Arial" w:hAnsi="Arial" w:eastAsia="Liberation Sans" w:cs="Arial"/>
              </w:rPr>
            </w:pPr>
            <w:r>
              <w:rPr>
                <w:rFonts w:ascii="Arial" w:hAnsi="Arial" w:eastAsia="Liberation Sans" w:cs="Arial"/>
                <w:color w:val="000000"/>
                <w:lang w:eastAsia="zh-CN" w:bidi="ar"/>
              </w:rPr>
              <w:t xml:space="preserve">O sistema deverá utilizar algoritmos de IA para cruzamento de dados e emissão de alertas de inconsistências relacionadas à execução dos créditos do Benefício Eventual.</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7BAD2D9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3DBB3C8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30D908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6838D87" w14:textId="77777777">
            <w:pPr>
              <w:pBdr/>
              <w:spacing/>
              <w:ind/>
              <w:rPr>
                <w:rFonts w:ascii="Arial" w:hAnsi="Arial" w:eastAsia="Liberation Sans" w:cs="Arial"/>
              </w:rPr>
            </w:pPr>
            <w:r>
              <w:rPr>
                <w:rFonts w:ascii="Arial" w:hAnsi="Arial" w:eastAsia="Liberation Sans" w:cs="Arial"/>
                <w:color w:val="000000"/>
                <w:lang w:eastAsia="zh-CN" w:bidi="ar"/>
              </w:rPr>
              <w:t xml:space="preserve">Impressão do saldo disponível no comprovante de venda após cada transação realizada com cartão do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6FD956A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FDDF9A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01BEF29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21E8A25" w14:textId="77777777">
            <w:pPr>
              <w:pBdr/>
              <w:spacing/>
              <w:ind/>
              <w:rPr>
                <w:rFonts w:ascii="Arial" w:hAnsi="Arial" w:eastAsia="Liberation Sans" w:cs="Arial"/>
              </w:rPr>
            </w:pPr>
            <w:r>
              <w:rPr>
                <w:rFonts w:ascii="Arial" w:hAnsi="Arial" w:eastAsia="Liberation Sans" w:cs="Arial"/>
                <w:color w:val="000000"/>
                <w:lang w:eastAsia="zh-CN" w:bidi="ar"/>
              </w:rPr>
              <w:t xml:space="preserve">Disponibilização de comprovante digital equivalente ao impresso.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8A66C6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0398B54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46E6DA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228B304" w14:textId="77777777">
            <w:pPr>
              <w:pBdr/>
              <w:spacing/>
              <w:ind/>
              <w:rPr>
                <w:rFonts w:ascii="Arial" w:hAnsi="Arial" w:eastAsia="Liberation Sans" w:cs="Arial"/>
              </w:rPr>
            </w:pPr>
            <w:r>
              <w:rPr>
                <w:rFonts w:ascii="Arial" w:hAnsi="Arial" w:eastAsia="Liberation Sans" w:cs="Arial"/>
                <w:color w:val="000000"/>
                <w:lang w:eastAsia="zh-CN" w:bidi="ar"/>
              </w:rPr>
              <w:t xml:space="preserve">Serviço via web para consulta de saldo, novos créditos, extrato com identificação de estabelecimento e data de utilização.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6E683F3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304F46D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6C5D15F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954CA7D" w14:textId="77777777">
            <w:pPr>
              <w:pBdr/>
              <w:spacing/>
              <w:ind/>
              <w:rPr>
                <w:rFonts w:ascii="Arial" w:hAnsi="Arial" w:eastAsia="Liberation Sans" w:cs="Arial"/>
              </w:rPr>
            </w:pPr>
            <w:r>
              <w:rPr>
                <w:rFonts w:ascii="Arial" w:hAnsi="Arial" w:eastAsia="Liberation Sans" w:cs="Arial"/>
                <w:color w:val="000000"/>
                <w:lang w:eastAsia="zh-CN" w:bidi="ar"/>
              </w:rPr>
              <w:t xml:space="preserve">Central de atendimento telefônico e via internet 24h para usuários do Benefício Eventual – Auxílio Natalidade.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14E8CC9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41FE8D8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D87925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A8238FD" w14:textId="77777777">
            <w:pPr>
              <w:pBdr/>
              <w:spacing/>
              <w:ind/>
              <w:rPr>
                <w:rFonts w:ascii="Arial" w:hAnsi="Arial" w:eastAsia="Liberation Sans" w:cs="Arial"/>
              </w:rPr>
            </w:pPr>
            <w:r>
              <w:rPr>
                <w:rFonts w:ascii="Arial" w:hAnsi="Arial" w:eastAsia="Liberation Sans" w:cs="Arial"/>
                <w:color w:val="000000"/>
                <w:lang w:eastAsia="zh-CN" w:bidi="ar"/>
              </w:rPr>
              <w:t xml:space="preserve">Aplicativo compatível com IOS e Android.</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30D1257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6298159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7F81DC6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52E39491" w14:textId="77777777">
            <w:pPr>
              <w:pBdr/>
              <w:spacing/>
              <w:ind/>
              <w:rPr>
                <w:rFonts w:ascii="Arial" w:hAnsi="Arial" w:eastAsia="Liberation Sans" w:cs="Arial"/>
              </w:rPr>
            </w:pPr>
            <w:r>
              <w:rPr>
                <w:rFonts w:ascii="Arial" w:hAnsi="Arial" w:eastAsia="Liberation Sans" w:cs="Arial"/>
                <w:color w:val="000000"/>
                <w:lang w:eastAsia="zh-CN" w:bidi="ar"/>
              </w:rPr>
              <w:t xml:space="preserve">Cartões personalizados com identificação institucional do programa do Benefício Eventual – Auxílio Natalidade, entregues bloqueados.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7FC75F5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1EA125D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273624A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22A3A6EF" w14:textId="77777777">
            <w:pPr>
              <w:pBdr/>
              <w:spacing/>
              <w:ind/>
              <w:rPr>
                <w:rFonts w:ascii="Arial" w:hAnsi="Arial" w:eastAsia="Liberation Sans" w:cs="Arial"/>
              </w:rPr>
            </w:pPr>
            <w:r>
              <w:rPr>
                <w:rFonts w:ascii="Arial" w:hAnsi="Arial" w:eastAsia="Liberation Sans" w:cs="Arial"/>
                <w:color w:val="000000"/>
                <w:lang w:eastAsia="zh-CN" w:bidi="ar"/>
              </w:rPr>
              <w:t xml:space="preserve">Identificação diferenciada de estabelecimentos vinculados a agricultores familiares, quando aplicável à execução do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7B47EFE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11CB129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693E73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7C26B334" w14:textId="77777777">
            <w:pPr>
              <w:pBdr/>
              <w:spacing/>
              <w:ind/>
              <w:rPr>
                <w:rFonts w:ascii="Arial" w:hAnsi="Arial" w:eastAsia="Liberation Sans" w:cs="Arial"/>
              </w:rPr>
            </w:pPr>
            <w:r>
              <w:rPr>
                <w:rFonts w:ascii="Arial" w:hAnsi="Arial" w:eastAsia="Liberation Sans" w:cs="Arial"/>
                <w:color w:val="000000"/>
                <w:lang w:eastAsia="zh-CN" w:bidi="ar"/>
              </w:rPr>
              <w:t xml:space="preserve">Gravação de senha na primeira transação no POS, com teste de validação de erro e acerto.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73B5BE8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1E5B764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5D6041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12FF349"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reset de senha com novo teste em transação.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794DDA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1508615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7D8ABD0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26378075" w14:textId="77777777">
            <w:pPr>
              <w:pBdr/>
              <w:spacing/>
              <w:ind/>
              <w:rPr>
                <w:rFonts w:ascii="Arial" w:hAnsi="Arial" w:eastAsia="Liberation Sans" w:cs="Arial"/>
              </w:rPr>
            </w:pPr>
            <w:r>
              <w:rPr>
                <w:rFonts w:ascii="Arial" w:hAnsi="Arial" w:eastAsia="Liberation Sans" w:cs="Arial"/>
                <w:color w:val="000000"/>
                <w:lang w:eastAsia="zh-CN" w:bidi="ar"/>
              </w:rPr>
              <w:t xml:space="preserve">Portal para estabelecimentos credenciados inserirem valores mínimos, máximos e produtos vinculados ao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3A47C8C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6EEEE7B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E3D2F4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3D69FB8" w14:textId="77777777">
            <w:pPr>
              <w:pBdr/>
              <w:spacing/>
              <w:ind/>
              <w:rPr>
                <w:rFonts w:ascii="Arial" w:hAnsi="Arial" w:eastAsia="Liberation Sans" w:cs="Arial"/>
              </w:rPr>
            </w:pPr>
            <w:r>
              <w:rPr>
                <w:rFonts w:ascii="Arial" w:hAnsi="Arial" w:eastAsia="Liberation Sans" w:cs="Arial"/>
                <w:color w:val="000000"/>
                <w:lang w:eastAsia="zh-CN" w:bidi="ar"/>
              </w:rPr>
              <w:t xml:space="preserve">Aplicativo para pesquisa de preços pelos beneficiários.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BBA018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09D96DE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755A63A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2EDE6A45" w14:textId="77777777">
            <w:pPr>
              <w:pBdr/>
              <w:spacing/>
              <w:ind/>
              <w:rPr>
                <w:rFonts w:ascii="Arial" w:hAnsi="Arial" w:eastAsia="Liberation Sans" w:cs="Arial"/>
              </w:rPr>
            </w:pPr>
            <w:r>
              <w:rPr>
                <w:rFonts w:ascii="Arial" w:hAnsi="Arial" w:eastAsia="Liberation Sans" w:cs="Arial"/>
                <w:color w:val="000000"/>
                <w:lang w:eastAsia="zh-CN" w:bidi="ar"/>
              </w:rPr>
              <w:t xml:space="preserve">Pesquisa de marcas, valores mínimos e máximos de itens vinculados ao Auxílio Natalidade.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59F9FA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7BC813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5B4FF2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2388047" w14:textId="77777777">
            <w:pPr>
              <w:pBdr/>
              <w:spacing/>
              <w:ind/>
              <w:rPr>
                <w:rFonts w:ascii="Arial" w:hAnsi="Arial" w:eastAsia="Liberation Sans" w:cs="Arial"/>
              </w:rPr>
            </w:pPr>
            <w:r>
              <w:rPr>
                <w:rFonts w:ascii="Arial" w:hAnsi="Arial" w:eastAsia="Liberation Sans" w:cs="Arial"/>
                <w:color w:val="000000"/>
                <w:lang w:eastAsia="zh-CN" w:bidi="ar"/>
              </w:rPr>
              <w:t xml:space="preserve">Exibição de dados do estabelecimento (CNPJ, logradouro, cidade, nome).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4C9DCAD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5C7B193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7982F03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2413264A"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envio e salvamento do comprovante da transação no celular.</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0DB0978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4AB2348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1958C5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6B6474BF"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localização por aproximação e traçado de rota até estabelecimento credenciado.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07DFB23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2BC4679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28C782A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7D9DE091" w14:textId="77777777">
            <w:pPr>
              <w:pBdr/>
              <w:spacing/>
              <w:ind/>
              <w:rPr>
                <w:rFonts w:ascii="Arial" w:hAnsi="Arial" w:eastAsia="Liberation Sans" w:cs="Arial"/>
              </w:rPr>
            </w:pPr>
            <w:r>
              <w:rPr>
                <w:rFonts w:ascii="Arial" w:hAnsi="Arial" w:eastAsia="Liberation Sans" w:cs="Arial"/>
                <w:color w:val="000000"/>
                <w:lang w:eastAsia="zh-CN" w:bidi="ar"/>
              </w:rPr>
              <w:t xml:space="preserve">Informação do valor do último benefício creditado.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CBD20E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6EA2F12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7C09BBA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6BD24EE"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bloqueio do cartão.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113E86D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26C7D1C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AC799C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43719B96"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alteração de senha com teste em transação.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786A9B1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2CCC93C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F4E0BA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B1E4F82" w14:textId="77777777">
            <w:pPr>
              <w:pBdr/>
              <w:spacing/>
              <w:ind/>
              <w:rPr>
                <w:rFonts w:ascii="Arial" w:hAnsi="Arial" w:eastAsia="Liberation Sans" w:cs="Arial"/>
              </w:rPr>
            </w:pPr>
            <w:r>
              <w:rPr>
                <w:rFonts w:ascii="Arial" w:hAnsi="Arial" w:eastAsia="Liberation Sans" w:cs="Arial"/>
                <w:color w:val="000000"/>
                <w:lang w:val="en-US" w:eastAsia="zh-CN" w:bidi="ar"/>
              </w:rPr>
              <w:t xml:space="preserve">Consulta de saldo diário.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4DCD6F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47307A8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29DA80D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541FB0E2" w14:textId="77777777">
            <w:pPr>
              <w:pBdr/>
              <w:spacing/>
              <w:ind/>
              <w:rPr>
                <w:rFonts w:ascii="Arial" w:hAnsi="Arial" w:eastAsia="Liberation Sans" w:cs="Arial"/>
              </w:rPr>
            </w:pPr>
            <w:r>
              <w:rPr>
                <w:rFonts w:ascii="Arial" w:hAnsi="Arial" w:eastAsia="Liberation Sans" w:cs="Arial"/>
                <w:color w:val="000000"/>
                <w:lang w:eastAsia="zh-CN" w:bidi="ar"/>
              </w:rPr>
              <w:t xml:space="preserve">Solicitação de 2ª via do cartão pelo aplicativo.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ED1B90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2EB3FCB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49F3A52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59F03195" w14:textId="77777777">
            <w:pPr>
              <w:pBdr/>
              <w:spacing/>
              <w:ind/>
              <w:rPr>
                <w:rFonts w:ascii="Arial" w:hAnsi="Arial" w:eastAsia="Liberation Sans" w:cs="Arial"/>
              </w:rPr>
            </w:pPr>
            <w:r>
              <w:rPr>
                <w:rFonts w:ascii="Arial" w:hAnsi="Arial" w:eastAsia="Liberation Sans" w:cs="Arial"/>
                <w:color w:val="000000"/>
                <w:lang w:eastAsia="zh-CN" w:bidi="ar"/>
              </w:rPr>
              <w:t xml:space="preserve">Informações completas do estabelecimento (nome, endereço, horário).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6EAB01C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3170620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F6C55B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2957F3A3" w14:textId="77777777">
            <w:pPr>
              <w:pBdr/>
              <w:spacing/>
              <w:ind/>
              <w:rPr>
                <w:rFonts w:ascii="Arial" w:hAnsi="Arial" w:eastAsia="Liberation Sans" w:cs="Arial"/>
              </w:rPr>
            </w:pPr>
            <w:r>
              <w:rPr>
                <w:rFonts w:ascii="Arial" w:hAnsi="Arial" w:eastAsia="Liberation Sans" w:cs="Arial"/>
                <w:color w:val="000000"/>
                <w:lang w:eastAsia="zh-CN" w:bidi="ar"/>
              </w:rPr>
              <w:t xml:space="preserve">Informação de localização do estabelecimento.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E2A854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30482FE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C6206A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1777BF6" w14:textId="77777777">
            <w:pPr>
              <w:pBdr/>
              <w:spacing/>
              <w:ind/>
              <w:rPr>
                <w:rFonts w:ascii="Arial" w:hAnsi="Arial" w:eastAsia="Liberation Sans" w:cs="Arial"/>
              </w:rPr>
            </w:pPr>
            <w:r>
              <w:rPr>
                <w:rFonts w:ascii="Arial" w:hAnsi="Arial" w:eastAsia="Liberation Sans" w:cs="Arial"/>
                <w:color w:val="000000"/>
                <w:lang w:eastAsia="zh-CN" w:bidi="ar"/>
              </w:rPr>
              <w:t xml:space="preserve">Visualização de saldo e transações realizadas no aplicativo.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FDB2BE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630758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C1A2A0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44F8D729" w14:textId="77777777">
            <w:pPr>
              <w:pBdr/>
              <w:spacing/>
              <w:ind/>
              <w:rPr>
                <w:rFonts w:ascii="Arial" w:hAnsi="Arial" w:eastAsia="Liberation Sans" w:cs="Arial"/>
              </w:rPr>
            </w:pPr>
            <w:r>
              <w:rPr>
                <w:rFonts w:ascii="Arial" w:hAnsi="Arial" w:eastAsia="Liberation Sans" w:cs="Arial"/>
                <w:color w:val="000000"/>
                <w:lang w:eastAsia="zh-CN" w:bidi="ar"/>
              </w:rPr>
              <w:t xml:space="preserve">Suporte técnico via 0800 com atendimento 24h aos beneficiários e credenciados.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196319E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09E4D2B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2A74614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7C58A3EB" w14:textId="77777777">
            <w:pPr>
              <w:pBdr/>
              <w:spacing/>
              <w:ind/>
              <w:rPr>
                <w:rFonts w:ascii="Arial" w:hAnsi="Arial" w:eastAsia="Liberation Sans" w:cs="Arial"/>
              </w:rPr>
            </w:pPr>
            <w:r>
              <w:rPr>
                <w:rFonts w:ascii="Arial" w:hAnsi="Arial" w:eastAsia="Liberation Sans" w:cs="Arial"/>
                <w:color w:val="000000"/>
                <w:lang w:eastAsia="zh-CN" w:bidi="ar"/>
              </w:rPr>
              <w:t xml:space="preserve">Sistema deverá permitir consulta de beneficiários ativos, estabelecimentos credenciados ativos e locais de utilização dos créditos do Benefício Eventual – Auxílio Natalidade, com extração de relatórios gerenciais.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6F955DD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503ECBE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421A7C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64DB8850"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atualização em lote de usuários.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5094F2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612EB98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8903D8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5BE6295C"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logs do sistema.</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7CD8B8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136FBE5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40E533A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667886A1"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créditos inseridos por período.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38D1CEE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63FBCD9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4E0AC08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4849CA4F"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créditos inseridos por usuário.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1E3139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0F7347F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549DC7B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3A37BE87"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consumo por usuário com pesquisa por CPF/nome e período.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07951F7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EE479E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E24BDA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60794074" w14:textId="77777777">
            <w:pPr>
              <w:pBdr/>
              <w:spacing/>
              <w:ind/>
              <w:rPr>
                <w:rFonts w:ascii="Arial" w:hAnsi="Arial" w:eastAsia="Liberation Sans" w:cs="Arial"/>
              </w:rPr>
            </w:pPr>
            <w:r>
              <w:rPr>
                <w:rFonts w:ascii="Arial" w:hAnsi="Arial" w:eastAsia="Liberation Sans" w:cs="Arial"/>
                <w:color w:val="000000"/>
                <w:lang w:val="en-US" w:eastAsia="zh-CN" w:bidi="ar"/>
              </w:rPr>
              <w:t xml:space="preserve">Relatório de transações bloqueadas.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26AA954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92EC92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2E77B4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032BCC55" w14:textId="77777777">
            <w:pPr>
              <w:pBdr/>
              <w:spacing/>
              <w:ind/>
              <w:rPr>
                <w:rFonts w:ascii="Arial" w:hAnsi="Arial" w:eastAsia="Liberation Sans" w:cs="Arial"/>
              </w:rPr>
            </w:pPr>
            <w:r>
              <w:rPr>
                <w:rFonts w:ascii="Arial" w:hAnsi="Arial" w:eastAsia="Liberation Sans" w:cs="Arial"/>
                <w:color w:val="000000"/>
                <w:lang w:val="en-US" w:eastAsia="zh-CN" w:bidi="ar"/>
              </w:rPr>
              <w:t xml:space="preserve">Relatório de cartões solicitados.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424A80D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3F3CA4A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1485532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4038EF99"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2ª via de cartões.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634CA7E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0ED25BA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3711FBF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058" w:type="dxa"/>
            <w:vAlign w:val="center"/>
            <w:textDirection w:val="lrTb"/>
            <w:noWrap w:val="false"/>
          </w:tcPr>
          <w:p w14:paraId="5097434A"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bloqueio e desbloqueio de rede com teste prático.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6" w:type="dxa"/>
            <w:vAlign w:val="center"/>
            <w:textDirection w:val="lrTb"/>
            <w:noWrap w:val="false"/>
          </w:tcPr>
          <w:p w14:paraId="55FD462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50" w:type="dxa"/>
            <w:vAlign w:val="center"/>
            <w:textDirection w:val="lrTb"/>
            <w:noWrap w:val="false"/>
          </w:tcPr>
          <w:p w14:paraId="7078F89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68" w:type="dxa"/>
            <w:vAlign w:val="center"/>
            <w:textDirection w:val="lrTb"/>
            <w:noWrap w:val="false"/>
          </w:tcPr>
          <w:p w14:paraId="6BE5C26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bl>
    <w:p w14:paraId="6FF40D4B" w14:textId="77777777">
      <w:pPr>
        <w:pBdr/>
        <w:spacing w:line="360" w:lineRule="auto"/>
        <w:ind w:right="-143"/>
        <w:jc w:val="both"/>
        <w:rPr>
          <w:rFonts w:ascii="Arial" w:hAnsi="Arial" w:cs="Arial"/>
          <w:b/>
          <w:bCs/>
        </w:rPr>
      </w:pPr>
      <w:r>
        <w:rPr>
          <w:rFonts w:ascii="Arial" w:hAnsi="Arial" w:cs="Arial"/>
          <w:b/>
          <w:bCs/>
        </w:rPr>
      </w:r>
      <w:r>
        <w:rPr>
          <w:rFonts w:ascii="Arial" w:hAnsi="Arial" w:cs="Arial"/>
          <w:b/>
          <w:bCs/>
        </w:rPr>
      </w:r>
    </w:p>
    <w:p w14:paraId="06C69779" w14:textId="3185AABE">
      <w:pPr>
        <w:pBdr/>
        <w:spacing/>
        <w:ind w:right="-143"/>
        <w:jc w:val="both"/>
        <w:rPr>
          <w:rFonts w:ascii="Arial" w:hAnsi="Arial" w:cs="Arial"/>
        </w:rPr>
      </w:pPr>
      <w:r>
        <w:rPr>
          <w:rFonts w:ascii="Arial" w:hAnsi="Arial" w:cs="Arial"/>
          <w:b/>
          <w:bCs/>
        </w:rPr>
        <w:t xml:space="preserve">7.4.2</w:t>
      </w:r>
      <w:r>
        <w:rPr>
          <w:rFonts w:ascii="Arial" w:hAnsi="Arial" w:cs="Arial"/>
        </w:rPr>
        <w:t xml:space="preserve"> A empresa ganha</w:t>
      </w:r>
      <w:r>
        <w:rPr>
          <w:rFonts w:ascii="Arial" w:hAnsi="Arial" w:cs="Arial"/>
        </w:rPr>
        <w:t xml:space="preserve">dora deverá efetuar APRESENTAÇÃO TÉCNICA do sistema de gerenciamento, antes da assinatura do contrato, demonstrando sua funcionalidade de modo que o contratante possa verificar se o sistema opera conforme solicitado sob pena de desclassificação do certame;</w:t>
      </w:r>
      <w:r>
        <w:rPr>
          <w:rFonts w:ascii="Arial" w:hAnsi="Arial" w:cs="Arial"/>
        </w:rPr>
      </w:r>
    </w:p>
    <w:p w14:paraId="20289194" w14:textId="77777777">
      <w:pPr>
        <w:pBdr/>
        <w:spacing/>
        <w:ind w:left="284"/>
        <w:jc w:val="both"/>
        <w:rPr>
          <w:rFonts w:ascii="Arial" w:cs="Arial"/>
        </w:rPr>
      </w:pPr>
      <w:r>
        <w:rPr>
          <w:rFonts w:ascii="Arial" w:cs="Arial"/>
        </w:rPr>
      </w:r>
      <w:r>
        <w:rPr>
          <w:rFonts w:ascii="Arial" w:cs="Arial"/>
        </w:rPr>
      </w:r>
    </w:p>
    <w:p w14:paraId="4F659882" w14:textId="77777777">
      <w:pPr>
        <w:pStyle w:val="873"/>
        <w:pBdr/>
        <w:spacing w:after="0" w:before="0"/>
        <w:ind/>
        <w:rPr>
          <w:sz w:val="20"/>
          <w:szCs w:val="20"/>
          <w:lang w:val="pt-BR"/>
        </w:rPr>
      </w:pPr>
      <w:r/>
      <w:bookmarkStart w:id="31" w:name="_Toc7094"/>
      <w:r/>
      <w:bookmarkStart w:id="32" w:name="_Toc190764798"/>
      <w:r>
        <w:rPr>
          <w:sz w:val="20"/>
          <w:szCs w:val="20"/>
          <w:lang w:val="pt-BR"/>
        </w:rPr>
        <w:t xml:space="preserve">8. DA FORMA DE DISPUTA:</w:t>
      </w:r>
      <w:bookmarkEnd w:id="31"/>
      <w:r/>
      <w:bookmarkEnd w:id="32"/>
      <w:r/>
      <w:r>
        <w:rPr>
          <w:sz w:val="20"/>
          <w:szCs w:val="20"/>
          <w:lang w:val="pt-BR"/>
        </w:rPr>
      </w:r>
    </w:p>
    <w:p w14:paraId="0798807B" w14:textId="77777777">
      <w:pPr>
        <w:pBdr/>
        <w:spacing/>
        <w:ind w:left="284"/>
        <w:jc w:val="both"/>
        <w:rPr>
          <w:rFonts w:ascii="Arial" w:cs="Arial"/>
          <w:b/>
          <w:color w:val="000000"/>
        </w:rPr>
      </w:pPr>
      <w:r>
        <w:rPr>
          <w:rFonts w:ascii="Arial" w:cs="Arial"/>
          <w:b/>
          <w:color w:val="000000"/>
        </w:rPr>
      </w:r>
      <w:r>
        <w:rPr>
          <w:rFonts w:ascii="Arial" w:cs="Arial"/>
          <w:b/>
          <w:color w:val="000000"/>
        </w:rPr>
      </w:r>
    </w:p>
    <w:p w14:paraId="0085AC94" w14:textId="77777777">
      <w:pPr>
        <w:pBdr/>
        <w:spacing/>
        <w:ind/>
        <w:jc w:val="both"/>
        <w:rPr/>
      </w:pPr>
      <w:r>
        <w:rPr>
          <w:rFonts w:ascii="Arial" w:hAnsi="Arial" w:cs="Arial"/>
          <w:b/>
          <w:color w:val="000000"/>
        </w:rPr>
        <w:t xml:space="preserve">8.1.</w:t>
      </w:r>
      <w:r>
        <w:rPr>
          <w:rFonts w:ascii="Arial" w:hAnsi="Arial" w:cs="Arial"/>
          <w:color w:val="000000"/>
        </w:rPr>
        <w:t xml:space="preserve"> Será adotado para o envio de lances no pregão eletrônico o </w:t>
      </w:r>
      <w:r>
        <w:rPr>
          <w:rFonts w:ascii="Arial" w:hAnsi="Arial" w:cs="Arial"/>
          <w:b/>
          <w:color w:val="000000"/>
        </w:rPr>
        <w:t xml:space="preserve">modo de disputa aberto</w:t>
      </w:r>
      <w:r>
        <w:rPr>
          <w:rFonts w:ascii="Arial" w:hAnsi="Arial" w:cs="Arial"/>
          <w:color w:val="000000"/>
        </w:rPr>
        <w:t xml:space="preserve"> onde os licitantes apresentarão lances públicos e sucessivos, com prorrogações, conforme o critério de julgamento adotado no edital.</w:t>
      </w:r>
      <w:r/>
    </w:p>
    <w:p w14:paraId="233A5E98" w14:textId="77777777">
      <w:pPr>
        <w:pBdr/>
        <w:spacing/>
        <w:ind w:left="284"/>
        <w:jc w:val="both"/>
        <w:rPr>
          <w:rFonts w:ascii="Arial" w:cs="Arial"/>
          <w:b/>
          <w:color w:val="000000"/>
        </w:rPr>
      </w:pPr>
      <w:r>
        <w:rPr>
          <w:rFonts w:ascii="Arial" w:cs="Arial"/>
          <w:b/>
          <w:color w:val="000000"/>
        </w:rPr>
      </w:r>
      <w:r>
        <w:rPr>
          <w:rFonts w:ascii="Arial" w:cs="Arial"/>
          <w:b/>
          <w:color w:val="000000"/>
        </w:rPr>
      </w:r>
    </w:p>
    <w:p w14:paraId="114BA2DF" w14:textId="77777777">
      <w:pPr>
        <w:pBdr/>
        <w:spacing/>
        <w:ind/>
        <w:jc w:val="both"/>
        <w:rPr/>
      </w:pPr>
      <w:r>
        <w:rPr>
          <w:rFonts w:ascii="Arial" w:hAnsi="Arial" w:cs="Arial"/>
          <w:b/>
          <w:color w:val="000000"/>
        </w:rPr>
        <w:t xml:space="preserve">8.2. </w:t>
      </w:r>
      <w:r>
        <w:rPr>
          <w:rFonts w:ascii="Arial" w:hAnsi="Arial" w:cs="Arial"/>
          <w:color w:val="000000"/>
        </w:rPr>
        <w:t xml:space="preserve">A etapa de lances da sessão pública terá duração de dez minutos e, após isso, será prorrogada automaticamente pelo sistema quando houver lance ofertado nos últimos dois minutos do período de duração da sessão pública.</w:t>
      </w:r>
      <w:r/>
    </w:p>
    <w:p w14:paraId="1DB40617" w14:textId="77777777">
      <w:pPr>
        <w:pBdr/>
        <w:spacing/>
        <w:ind w:left="284"/>
        <w:jc w:val="both"/>
        <w:rPr>
          <w:rFonts w:ascii="Arial" w:cs="Arial"/>
          <w:color w:val="000000"/>
        </w:rPr>
      </w:pPr>
      <w:r>
        <w:rPr>
          <w:rFonts w:ascii="Arial" w:cs="Arial"/>
          <w:color w:val="000000"/>
        </w:rPr>
      </w:r>
      <w:r>
        <w:rPr>
          <w:rFonts w:ascii="Arial" w:cs="Arial"/>
          <w:color w:val="000000"/>
        </w:rPr>
      </w:r>
    </w:p>
    <w:p w14:paraId="1E5A5D9D" w14:textId="77777777">
      <w:pPr>
        <w:pBdr/>
        <w:spacing/>
        <w:ind/>
        <w:jc w:val="both"/>
        <w:rPr/>
      </w:pPr>
      <w:r>
        <w:rPr>
          <w:rFonts w:ascii="Arial" w:hAnsi="Arial" w:cs="Arial"/>
          <w:b/>
          <w:color w:val="000000"/>
        </w:rPr>
        <w:t xml:space="preserve">8.3.</w:t>
      </w:r>
      <w:r>
        <w:rPr>
          <w:rFonts w:ascii="Arial"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p>
    <w:p w14:paraId="0BC6032D" w14:textId="77777777">
      <w:pPr>
        <w:pBdr/>
        <w:spacing/>
        <w:ind w:left="284"/>
        <w:jc w:val="both"/>
        <w:rPr>
          <w:rFonts w:ascii="Arial" w:cs="Arial"/>
          <w:b/>
          <w:color w:val="000000"/>
        </w:rPr>
      </w:pPr>
      <w:r>
        <w:rPr>
          <w:rFonts w:ascii="Arial" w:cs="Arial"/>
          <w:b/>
          <w:color w:val="000000"/>
        </w:rPr>
      </w:r>
      <w:r>
        <w:rPr>
          <w:rFonts w:ascii="Arial" w:cs="Arial"/>
          <w:b/>
          <w:color w:val="000000"/>
        </w:rPr>
      </w:r>
    </w:p>
    <w:p w14:paraId="46749AD8" w14:textId="77777777">
      <w:pPr>
        <w:pBdr/>
        <w:spacing/>
        <w:ind/>
        <w:jc w:val="both"/>
        <w:rPr/>
      </w:pPr>
      <w:r>
        <w:rPr>
          <w:rFonts w:ascii="Arial" w:hAnsi="Arial" w:cs="Arial"/>
          <w:b/>
          <w:color w:val="000000"/>
        </w:rPr>
        <w:t xml:space="preserve">8.4.</w:t>
      </w:r>
      <w:r>
        <w:rPr>
          <w:rFonts w:ascii="Arial" w:hAnsi="Arial" w:cs="Arial"/>
          <w:color w:val="000000"/>
        </w:rPr>
        <w:t xml:space="preserve"> Não havendo novos lances na forma estabelecida nos itens </w:t>
      </w:r>
      <w:r>
        <w:rPr>
          <w:rFonts w:ascii="Arial" w:hAnsi="Arial" w:cs="Arial"/>
          <w:b/>
          <w:color w:val="000000"/>
        </w:rPr>
        <w:t xml:space="preserve">8.2</w:t>
      </w:r>
      <w:r>
        <w:rPr>
          <w:rFonts w:ascii="Arial" w:hAnsi="Arial" w:cs="Arial"/>
          <w:color w:val="000000"/>
        </w:rPr>
        <w:t xml:space="preserve"> e </w:t>
      </w:r>
      <w:r>
        <w:rPr>
          <w:rFonts w:ascii="Arial" w:hAnsi="Arial" w:cs="Arial"/>
          <w:b/>
          <w:color w:val="000000"/>
        </w:rPr>
        <w:t xml:space="preserve">8.3</w:t>
      </w:r>
      <w:r>
        <w:rPr>
          <w:rFonts w:ascii="Arial" w:hAnsi="Arial" w:cs="Arial"/>
          <w:color w:val="000000"/>
        </w:rPr>
        <w:t xml:space="preserve">, a sessão pública encerrar-se-á automaticamente, e o sistema ordenará e divulgará os lances conforme a ordem final de classificação.</w:t>
      </w:r>
      <w:r/>
    </w:p>
    <w:p w14:paraId="0265293A" w14:textId="77777777">
      <w:pPr>
        <w:pBdr/>
        <w:spacing/>
        <w:ind w:left="284"/>
        <w:jc w:val="both"/>
        <w:rPr>
          <w:rFonts w:ascii="Arial" w:cs="Arial"/>
          <w:b/>
          <w:color w:val="000000"/>
        </w:rPr>
      </w:pPr>
      <w:r>
        <w:rPr>
          <w:rFonts w:ascii="Arial" w:cs="Arial"/>
          <w:b/>
          <w:color w:val="000000"/>
        </w:rPr>
      </w:r>
      <w:r>
        <w:rPr>
          <w:rFonts w:ascii="Arial" w:cs="Arial"/>
          <w:b/>
          <w:color w:val="000000"/>
        </w:rPr>
      </w:r>
    </w:p>
    <w:p w14:paraId="7DEB3C48" w14:textId="77777777">
      <w:pPr>
        <w:pStyle w:val="873"/>
        <w:pBdr/>
        <w:spacing w:after="0" w:before="0"/>
        <w:ind/>
        <w:rPr>
          <w:b w:val="0"/>
          <w:sz w:val="20"/>
          <w:szCs w:val="20"/>
          <w:lang w:val="pt-BR"/>
        </w:rPr>
      </w:pPr>
      <w:r/>
      <w:bookmarkStart w:id="33" w:name="_Toc2367"/>
      <w:r/>
      <w:bookmarkStart w:id="34" w:name="_Toc190764799"/>
      <w:r>
        <w:rPr>
          <w:sz w:val="20"/>
          <w:lang w:val="pt-BR"/>
        </w:rPr>
        <w:t xml:space="preserve">9. DA FASE DE LANCES:</w:t>
      </w:r>
      <w:bookmarkEnd w:id="33"/>
      <w:r/>
      <w:bookmarkEnd w:id="34"/>
      <w:r>
        <w:rPr>
          <w:sz w:val="20"/>
          <w:lang w:val="pt-BR"/>
        </w:rPr>
        <w:t xml:space="preserve"> </w:t>
      </w:r>
      <w:r>
        <w:rPr>
          <w:b w:val="0"/>
          <w:sz w:val="20"/>
          <w:szCs w:val="20"/>
          <w:lang w:val="pt-BR"/>
        </w:rPr>
      </w:r>
    </w:p>
    <w:p w14:paraId="4474886D" w14:textId="77777777">
      <w:pPr>
        <w:pBdr/>
        <w:tabs>
          <w:tab w:val="left" w:leader="none" w:pos="142"/>
        </w:tabs>
        <w:spacing w:afterAutospacing="1" w:beforeAutospacing="1"/>
        <w:ind/>
        <w:jc w:val="both"/>
        <w:rPr/>
      </w:pPr>
      <w:r>
        <w:rPr>
          <w:rFonts w:ascii="Arial" w:hAnsi="Arial" w:cs="Arial"/>
          <w:b/>
        </w:rPr>
        <w:t xml:space="preserve">9.1.</w:t>
      </w:r>
      <w:r>
        <w:rPr>
          <w:rFonts w:ascii="Arial" w:hAnsi="Arial" w:cs="Arial"/>
        </w:rPr>
        <w:t xml:space="preserve"> Após a classificação das propostas, iniciar-se-á a fase de lances, na qual os autores das propostas classificadas pelo Pregoeiro po</w:t>
      </w:r>
      <w:r>
        <w:rPr>
          <w:rFonts w:ascii="Arial" w:hAnsi="Arial" w:cs="Arial"/>
        </w:rPr>
        <w:t xml:space="preserve">derão oferecer lances, obrigatoriamente por meio do sistema eletrônico. Não haverá restrições quanto à quantidade de lances ou à ordem classificatória ou cronológica específica. Cada novo lance deverá ser obrigatoriamente inferior ao último lance ofertado.</w:t>
      </w:r>
      <w:r/>
    </w:p>
    <w:p w14:paraId="45A28827" w14:textId="77777777">
      <w:pPr>
        <w:pBdr/>
        <w:tabs>
          <w:tab w:val="left" w:leader="none" w:pos="142"/>
        </w:tabs>
        <w:spacing/>
        <w:ind/>
        <w:jc w:val="both"/>
        <w:rPr>
          <w:rFonts w:ascii="Arial" w:hAnsi="Arial" w:cs="Arial"/>
        </w:rPr>
      </w:pPr>
      <w:r>
        <w:rPr>
          <w:rFonts w:ascii="Arial" w:hAnsi="Arial" w:cs="Arial"/>
          <w:b/>
        </w:rPr>
        <w:t xml:space="preserve">9.1.1.</w:t>
      </w:r>
      <w:r>
        <w:rPr>
          <w:rFonts w:ascii="Arial" w:hAnsi="Arial" w:cs="Arial"/>
        </w:rPr>
        <w:t xml:space="preserve"> A melhor proposta será aquela que apresentar o menor preço global, considerando o valor anual</w:t>
      </w:r>
      <w:r>
        <w:rPr>
          <w:rFonts w:ascii="Arial" w:hAnsi="Arial" w:cs="Arial"/>
        </w:rPr>
      </w:r>
    </w:p>
    <w:p w14:paraId="074E0FBF" w14:textId="5A7CEFA8">
      <w:pPr>
        <w:pBdr/>
        <w:tabs>
          <w:tab w:val="left" w:leader="none" w:pos="142"/>
        </w:tabs>
        <w:spacing/>
        <w:ind/>
        <w:jc w:val="both"/>
        <w:rPr>
          <w:rFonts w:ascii="Arial" w:cs="Arial"/>
        </w:rPr>
      </w:pPr>
      <w:r>
        <w:rPr>
          <w:rFonts w:ascii="Arial" w:hAnsi="Arial" w:cs="Arial"/>
        </w:rPr>
        <w:t xml:space="preserve">estimado de </w:t>
      </w:r>
      <w:r>
        <w:rPr>
          <w:rFonts w:ascii="Arial" w:hAnsi="Arial"/>
        </w:rPr>
        <w:t xml:space="preserve">R$ </w:t>
      </w:r>
      <w:r>
        <w:rPr>
          <w:rFonts w:ascii="Arial" w:hAnsi="Arial"/>
        </w:rPr>
        <w:t xml:space="preserve">2.317.500,00 (dois milhões, trezentos e dezessete mil e quinhentos reais)</w:t>
      </w:r>
      <w:r>
        <w:rPr>
          <w:rFonts w:ascii="Arial" w:hAnsi="Arial"/>
        </w:rPr>
        <w:t xml:space="preserve">, </w:t>
      </w:r>
      <w:r>
        <w:rPr>
          <w:rFonts w:ascii="Arial" w:hAnsi="Arial" w:cs="Arial"/>
        </w:rPr>
        <w:t xml:space="preserve">já incluída neste valor a taxa de administração no percentual MÁXIMO de </w:t>
      </w:r>
      <w:r>
        <w:rPr>
          <w:rFonts w:ascii="Arial" w:hAnsi="Arial" w:cs="Arial"/>
        </w:rPr>
        <w:t xml:space="preserve">3</w:t>
      </w:r>
      <w:r>
        <w:rPr>
          <w:rFonts w:ascii="Arial" w:hAnsi="Arial" w:cs="Arial"/>
        </w:rPr>
        <w:t xml:space="preserve">% (</w:t>
      </w:r>
      <w:r>
        <w:rPr>
          <w:rFonts w:ascii="Arial" w:hAnsi="Arial" w:cs="Arial"/>
        </w:rPr>
        <w:t xml:space="preserve">três por cento</w:t>
      </w:r>
      <w:r>
        <w:rPr>
          <w:rFonts w:ascii="Arial" w:hAnsi="Arial" w:cs="Arial"/>
        </w:rPr>
        <w:t xml:space="preserve">), no julgamento das propostas, será vencedora a Licitante que oferecer a MENOR TAXA DE ADMINISTRAÇÃO/MENOR PREÇO. Será admitida taxa de administração menor ou igual a 0,00%, inclusive negativa.</w:t>
      </w:r>
      <w:r>
        <w:rPr>
          <w:rFonts w:ascii="Arial" w:cs="Arial"/>
        </w:rPr>
      </w:r>
    </w:p>
    <w:p w14:paraId="58BEC21D" w14:textId="77777777">
      <w:pPr>
        <w:pBdr/>
        <w:tabs>
          <w:tab w:val="left" w:leader="none" w:pos="142"/>
        </w:tabs>
        <w:spacing w:afterAutospacing="1" w:beforeAutospacing="1"/>
        <w:ind/>
        <w:jc w:val="both"/>
        <w:rPr>
          <w:rFonts w:ascii="Arial" w:hAnsi="Arial" w:cs="Arial"/>
        </w:rPr>
      </w:pPr>
      <w:r>
        <w:rPr>
          <w:rFonts w:ascii="Arial" w:hAnsi="Arial" w:cs="Arial"/>
          <w:b/>
        </w:rPr>
        <w:t xml:space="preserve">9.1.1.2. </w:t>
      </w:r>
      <w:r>
        <w:rPr>
          <w:rFonts w:ascii="Arial" w:hAnsi="Arial" w:cs="Arial"/>
        </w:rPr>
        <w:t xml:space="preserve">No caso de taxa de administração menor que zero (negativa), esta será considerada como desconto. A taxa de administração menor que zero (negativa), expressa na forma percentual com até 02 (DUAS) casas, será considerada como desconto e incidirá s</w:t>
      </w:r>
      <w:r>
        <w:rPr>
          <w:rFonts w:ascii="Arial" w:hAnsi="Arial" w:cs="Arial"/>
        </w:rPr>
        <w:t xml:space="preserve">obre o faturamento mensal realizado pelo município correspondente aos insumos e serviços efetivamente consumidos no período. O percentual da taxa de administração proposto no certame licitatório será fixo e irreajustável durante toda a vigência contratual.</w:t>
      </w:r>
      <w:r>
        <w:rPr>
          <w:rFonts w:ascii="Arial" w:hAnsi="Arial" w:cs="Arial"/>
        </w:rPr>
      </w:r>
    </w:p>
    <w:p w14:paraId="2929C76D" w14:textId="77777777">
      <w:pPr>
        <w:pBdr/>
        <w:tabs>
          <w:tab w:val="left" w:leader="none" w:pos="142"/>
        </w:tabs>
        <w:spacing w:afterAutospacing="1" w:beforeAutospacing="1"/>
        <w:ind/>
        <w:jc w:val="both"/>
        <w:rPr/>
      </w:pPr>
      <w:r>
        <w:rPr>
          <w:rFonts w:ascii="Arial" w:hAnsi="Arial" w:cs="Arial"/>
          <w:b/>
        </w:rPr>
        <w:t xml:space="preserve">9.2.</w:t>
      </w:r>
      <w:r>
        <w:rPr>
          <w:rFonts w:ascii="Arial" w:hAnsi="Arial" w:cs="Arial"/>
        </w:rPr>
        <w:t xml:space="preserve"> </w:t>
      </w:r>
      <w:r>
        <w:rPr>
          <w:rFonts w:ascii="Arial" w:hAnsi="Arial" w:cs="Arial"/>
          <w:color w:val="000000"/>
        </w:rPr>
        <w:t xml:space="preserve">Caberá a licitante acompanha</w:t>
      </w:r>
      <w:r>
        <w:rPr>
          <w:rFonts w:ascii="Arial" w:hAnsi="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p>
    <w:p w14:paraId="42D461DC" w14:textId="77777777">
      <w:pPr>
        <w:pBdr/>
        <w:spacing/>
        <w:ind/>
        <w:jc w:val="both"/>
        <w:rPr/>
      </w:pPr>
      <w:r>
        <w:rPr>
          <w:rFonts w:ascii="Arial" w:hAnsi="Arial" w:cs="Arial"/>
          <w:b/>
          <w:sz w:val="19"/>
          <w:szCs w:val="19"/>
        </w:rPr>
        <w:t xml:space="preserve">9.3.</w:t>
      </w:r>
      <w:r>
        <w:rPr>
          <w:rFonts w:ascii="Arial" w:hAnsi="Arial" w:cs="Arial"/>
          <w:sz w:val="19"/>
          <w:szCs w:val="19"/>
        </w:rPr>
        <w:t xml:space="preserve"> No caso de desconexão do sistema com o Pregoeiro no decorrer da et</w:t>
      </w:r>
      <w:r>
        <w:rPr>
          <w:rFonts w:ascii="Arial" w:hAnsi="Arial" w:cs="Arial"/>
          <w:sz w:val="19"/>
          <w:szCs w:val="19"/>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p>
    <w:p w14:paraId="68BB16C7" w14:textId="77777777">
      <w:pPr>
        <w:pBdr/>
        <w:spacing/>
        <w:ind w:left="284"/>
        <w:jc w:val="both"/>
        <w:rPr>
          <w:rFonts w:ascii="Arial" w:cs="Arial"/>
          <w:b/>
          <w:color w:val="000000"/>
        </w:rPr>
      </w:pPr>
      <w:r>
        <w:rPr>
          <w:rFonts w:ascii="Arial" w:cs="Arial"/>
          <w:b/>
          <w:color w:val="000000"/>
        </w:rPr>
      </w:r>
      <w:r>
        <w:rPr>
          <w:rFonts w:ascii="Arial" w:cs="Arial"/>
          <w:b/>
          <w:color w:val="000000"/>
        </w:rPr>
      </w:r>
    </w:p>
    <w:p w14:paraId="6C65B2AC" w14:textId="77777777">
      <w:pPr>
        <w:pBdr/>
        <w:spacing/>
        <w:ind/>
        <w:jc w:val="both"/>
        <w:rPr/>
      </w:pPr>
      <w:r>
        <w:rPr>
          <w:rFonts w:ascii="Arial" w:hAnsi="Arial" w:cs="Arial"/>
          <w:b/>
          <w:color w:val="000000"/>
        </w:rPr>
        <w:t xml:space="preserve">9.4.</w:t>
      </w:r>
      <w:r>
        <w:rPr>
          <w:rFonts w:ascii="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w:t>
      </w:r>
      <w:r/>
    </w:p>
    <w:p w14:paraId="14845D49" w14:textId="77777777">
      <w:pPr>
        <w:pBdr/>
        <w:spacing/>
        <w:ind w:left="284"/>
        <w:jc w:val="both"/>
        <w:rPr>
          <w:rFonts w:ascii="Arial" w:cs="Arial"/>
          <w:b/>
        </w:rPr>
      </w:pPr>
      <w:r>
        <w:rPr>
          <w:rFonts w:ascii="Arial" w:cs="Arial"/>
          <w:b/>
        </w:rPr>
      </w:r>
      <w:r>
        <w:rPr>
          <w:rFonts w:ascii="Arial" w:cs="Arial"/>
          <w:b/>
        </w:rPr>
      </w:r>
    </w:p>
    <w:p w14:paraId="34FB631B" w14:textId="77777777">
      <w:pPr>
        <w:pBdr/>
        <w:spacing/>
        <w:ind/>
        <w:jc w:val="both"/>
        <w:rPr/>
      </w:pPr>
      <w:r>
        <w:rPr>
          <w:rFonts w:ascii="Arial" w:hAnsi="Arial" w:cs="Arial"/>
          <w:b/>
        </w:rPr>
        <w:t xml:space="preserve">9.5.</w:t>
      </w:r>
      <w:r>
        <w:rPr>
          <w:rFonts w:ascii="Arial" w:hAnsi="Arial" w:cs="Arial"/>
        </w:rPr>
        <w:t xml:space="preserve"> Durante o transcurso da sessão de lances, os participantes serão informados em tempo real, do valor do melhor lance registrado. </w:t>
      </w:r>
      <w:r/>
    </w:p>
    <w:p w14:paraId="2B15D562" w14:textId="77777777">
      <w:pPr>
        <w:pBdr/>
        <w:spacing/>
        <w:ind w:left="284"/>
        <w:jc w:val="both"/>
        <w:rPr>
          <w:rFonts w:ascii="Arial" w:cs="Arial"/>
        </w:rPr>
      </w:pPr>
      <w:r>
        <w:rPr>
          <w:rFonts w:ascii="Arial" w:cs="Arial"/>
        </w:rPr>
      </w:r>
      <w:r>
        <w:rPr>
          <w:rFonts w:ascii="Arial" w:cs="Arial"/>
        </w:rPr>
      </w:r>
    </w:p>
    <w:p w14:paraId="7FA7CA84" w14:textId="77777777">
      <w:pPr>
        <w:pBdr/>
        <w:spacing/>
        <w:ind w:left="284"/>
        <w:jc w:val="both"/>
        <w:rPr/>
      </w:pPr>
      <w:r>
        <w:rPr>
          <w:rFonts w:ascii="Arial" w:hAnsi="Arial" w:cs="Arial"/>
          <w:b/>
          <w:color w:val="000000"/>
          <w:sz w:val="19"/>
          <w:szCs w:val="19"/>
        </w:rPr>
        <w:t xml:space="preserve">9.5.1.</w:t>
      </w:r>
      <w:r>
        <w:rPr>
          <w:rFonts w:ascii="Arial" w:hAnsi="Arial" w:cs="Arial"/>
          <w:color w:val="000000"/>
          <w:sz w:val="19"/>
          <w:szCs w:val="19"/>
        </w:rPr>
        <w:t xml:space="preserve"> N</w:t>
      </w:r>
      <w:r>
        <w:rPr>
          <w:rFonts w:ascii="Arial" w:hAnsi="Arial" w:cs="Arial"/>
          <w:sz w:val="19"/>
          <w:szCs w:val="19"/>
        </w:rPr>
        <w:t xml:space="preserve">esse momento o sistema ainda não identifica as empresas participantes as propostas continuam aparecendo em forma de número (participante 1, 2, 3 e assim sucessivamente, no item seguinte o sistema alterna o número dos participantes). </w:t>
      </w:r>
      <w:r/>
    </w:p>
    <w:p w14:paraId="631139D0" w14:textId="77777777">
      <w:pPr>
        <w:pBdr/>
        <w:spacing/>
        <w:ind w:left="284"/>
        <w:jc w:val="both"/>
        <w:rPr>
          <w:rFonts w:ascii="Arial" w:cs="Arial"/>
          <w:sz w:val="19"/>
          <w:szCs w:val="19"/>
        </w:rPr>
      </w:pPr>
      <w:r>
        <w:rPr>
          <w:rFonts w:ascii="Arial" w:cs="Arial"/>
          <w:sz w:val="19"/>
          <w:szCs w:val="19"/>
        </w:rPr>
      </w:r>
      <w:r>
        <w:rPr>
          <w:rFonts w:ascii="Arial" w:cs="Arial"/>
          <w:sz w:val="19"/>
          <w:szCs w:val="19"/>
        </w:rPr>
      </w:r>
    </w:p>
    <w:p w14:paraId="26E3D72D" w14:textId="77777777">
      <w:pPr>
        <w:pBdr/>
        <w:spacing/>
        <w:ind w:left="284"/>
        <w:jc w:val="both"/>
        <w:rPr/>
      </w:pPr>
      <w:r>
        <w:rPr>
          <w:rFonts w:ascii="Arial" w:hAnsi="Arial" w:cs="Arial"/>
          <w:b/>
          <w:sz w:val="19"/>
          <w:szCs w:val="19"/>
        </w:rPr>
        <w:t xml:space="preserve">9.5.2.</w:t>
      </w:r>
      <w:r>
        <w:rPr>
          <w:rFonts w:ascii="Arial" w:hAnsi="Arial" w:cs="Arial"/>
          <w:sz w:val="19"/>
          <w:szCs w:val="19"/>
        </w:rPr>
        <w:t xml:space="preserve"> O intervalo mínimo de diferença de valores entre os lances, que incidirá tanto em relação aos lances intermediários quanto em relação à proposta que cobrir a melhor oferta.</w:t>
      </w:r>
      <w:r/>
    </w:p>
    <w:p w14:paraId="0DC2A16F" w14:textId="77777777">
      <w:pPr>
        <w:pBdr/>
        <w:spacing/>
        <w:ind w:left="284"/>
        <w:jc w:val="both"/>
        <w:rPr>
          <w:rFonts w:ascii="Arial" w:cs="Arial"/>
          <w:sz w:val="19"/>
          <w:szCs w:val="19"/>
        </w:rPr>
      </w:pPr>
      <w:r>
        <w:rPr>
          <w:rFonts w:ascii="Arial" w:cs="Arial"/>
          <w:sz w:val="19"/>
          <w:szCs w:val="19"/>
        </w:rPr>
      </w:r>
      <w:r>
        <w:rPr>
          <w:rFonts w:ascii="Arial" w:cs="Arial"/>
          <w:sz w:val="19"/>
          <w:szCs w:val="19"/>
        </w:rPr>
      </w:r>
    </w:p>
    <w:p w14:paraId="7EB7C8C2" w14:textId="77777777">
      <w:pPr>
        <w:pBdr/>
        <w:spacing/>
        <w:ind/>
        <w:jc w:val="both"/>
        <w:rPr/>
      </w:pPr>
      <w:r>
        <w:rPr>
          <w:rFonts w:ascii="Arial" w:hAnsi="Arial" w:cs="Arial"/>
          <w:b/>
          <w:color w:val="000000"/>
          <w:sz w:val="19"/>
          <w:szCs w:val="19"/>
        </w:rPr>
        <w:t xml:space="preserve">9.6.</w:t>
      </w:r>
      <w:r>
        <w:rPr>
          <w:rFonts w:ascii="Arial" w:hAnsi="Arial" w:cs="Arial"/>
          <w:color w:val="000000"/>
          <w:sz w:val="19"/>
          <w:szCs w:val="19"/>
        </w:rPr>
        <w:t xml:space="preserve"> </w:t>
      </w:r>
      <w:r>
        <w:rPr>
          <w:rFonts w:ascii="Arial" w:hAnsi="Arial" w:cs="Arial"/>
          <w:sz w:val="19"/>
          <w:szCs w:val="19"/>
        </w:rPr>
        <w:t xml:space="preserve">O licitante somente poderá oferecer valor inferior ao melhor lance po</w:t>
      </w:r>
      <w:r>
        <w:rPr>
          <w:rFonts w:ascii="Arial" w:hAnsi="Arial" w:cs="Arial"/>
          <w:sz w:val="19"/>
          <w:szCs w:val="19"/>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p>
    <w:p w14:paraId="6B9DA579" w14:textId="77777777">
      <w:pPr>
        <w:pBdr/>
        <w:spacing/>
        <w:ind w:left="284"/>
        <w:jc w:val="both"/>
        <w:rPr>
          <w:rFonts w:ascii="Arial" w:cs="Arial"/>
          <w:b/>
        </w:rPr>
      </w:pPr>
      <w:r>
        <w:rPr>
          <w:rFonts w:ascii="Arial" w:cs="Arial"/>
          <w:b/>
        </w:rPr>
      </w:r>
      <w:r>
        <w:rPr>
          <w:rFonts w:ascii="Arial" w:cs="Arial"/>
          <w:b/>
        </w:rPr>
      </w:r>
    </w:p>
    <w:p w14:paraId="19E1FB7C" w14:textId="77777777">
      <w:pPr>
        <w:pBdr/>
        <w:spacing/>
        <w:ind/>
        <w:jc w:val="both"/>
        <w:rPr/>
      </w:pPr>
      <w:r>
        <w:rPr>
          <w:rFonts w:ascii="Arial" w:hAnsi="Arial" w:cs="Arial"/>
          <w:b/>
        </w:rPr>
        <w:t xml:space="preserve">9.7.</w:t>
      </w:r>
      <w:r>
        <w:rPr>
          <w:rFonts w:ascii="Arial" w:hAnsi="Arial" w:cs="Arial"/>
        </w:rPr>
        <w:t xml:space="preserve"> Quando houver um único licitante ou uma única proposta válida, caberá ao Pregoeiro verificar a aceitabilidade do valor ofertado com base no valor de referência levantado pelas secretarias solicitantes.</w:t>
      </w:r>
      <w:r/>
    </w:p>
    <w:p w14:paraId="0D798683" w14:textId="77777777">
      <w:pPr>
        <w:pBdr/>
        <w:spacing/>
        <w:ind w:left="284"/>
        <w:jc w:val="both"/>
        <w:rPr>
          <w:rFonts w:ascii="Arial" w:cs="Arial"/>
          <w:b/>
        </w:rPr>
      </w:pPr>
      <w:r>
        <w:rPr>
          <w:rFonts w:ascii="Arial" w:cs="Arial"/>
          <w:b/>
        </w:rPr>
      </w:r>
      <w:r>
        <w:rPr>
          <w:rFonts w:ascii="Arial" w:cs="Arial"/>
          <w:b/>
        </w:rPr>
      </w:r>
    </w:p>
    <w:p w14:paraId="0A2A077D" w14:textId="77777777">
      <w:pPr>
        <w:pBdr/>
        <w:spacing/>
        <w:ind/>
        <w:jc w:val="both"/>
        <w:rPr/>
      </w:pPr>
      <w:r>
        <w:rPr>
          <w:rFonts w:ascii="Arial" w:hAnsi="Arial" w:cs="Arial"/>
          <w:b/>
        </w:rPr>
        <w:t xml:space="preserve">9.8.</w:t>
      </w:r>
      <w:r>
        <w:rPr>
          <w:rFonts w:ascii="Arial" w:hAnsi="Arial" w:cs="Arial"/>
        </w:rPr>
        <w:t xml:space="preserve"> Na hipótese de haver lances ou propostas iguais prevalecerão como de menor valor o lance que tiver sido primeiramente registrado. </w:t>
      </w:r>
      <w:r/>
    </w:p>
    <w:p w14:paraId="096E0D39" w14:textId="77777777">
      <w:pPr>
        <w:pBdr/>
        <w:spacing/>
        <w:ind w:left="284"/>
        <w:jc w:val="both"/>
        <w:rPr>
          <w:rFonts w:ascii="Arial" w:cs="Arial"/>
          <w:b/>
        </w:rPr>
      </w:pPr>
      <w:r>
        <w:rPr>
          <w:rFonts w:ascii="Arial" w:cs="Arial"/>
          <w:b/>
        </w:rPr>
      </w:r>
      <w:r>
        <w:rPr>
          <w:rFonts w:ascii="Arial" w:cs="Arial"/>
          <w:b/>
        </w:rPr>
      </w:r>
    </w:p>
    <w:p w14:paraId="5DFDE9C5" w14:textId="77777777">
      <w:pPr>
        <w:pBdr/>
        <w:spacing/>
        <w:ind/>
        <w:jc w:val="both"/>
        <w:rPr/>
      </w:pPr>
      <w:r>
        <w:rPr>
          <w:rFonts w:ascii="Arial" w:hAnsi="Arial" w:cs="Arial"/>
          <w:b/>
        </w:rPr>
        <w:t xml:space="preserve">9.9.</w:t>
      </w:r>
      <w:r>
        <w:rPr>
          <w:rFonts w:ascii="Arial" w:hAnsi="Arial" w:cs="Arial"/>
        </w:rPr>
        <w:t xml:space="preserve"> Nesse momento após o encerramento da etapa de lances do item ou lote conforme o caso, o sistema informará a propos</w:t>
      </w:r>
      <w:r>
        <w:rPr>
          <w:rFonts w:ascii="Arial" w:hAnsi="Arial" w:cs="Arial"/>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p>
    <w:p w14:paraId="70FE0EE5" w14:textId="77777777">
      <w:pPr>
        <w:pBdr/>
        <w:spacing/>
        <w:ind w:left="284"/>
        <w:jc w:val="both"/>
        <w:rPr>
          <w:rFonts w:ascii="Arial" w:cs="Arial"/>
          <w:b/>
        </w:rPr>
      </w:pPr>
      <w:r>
        <w:rPr>
          <w:rFonts w:ascii="Arial" w:cs="Arial"/>
          <w:b/>
        </w:rPr>
      </w:r>
      <w:r>
        <w:rPr>
          <w:rFonts w:ascii="Arial" w:cs="Arial"/>
          <w:b/>
        </w:rPr>
      </w:r>
    </w:p>
    <w:p w14:paraId="5D8E4959" w14:textId="77777777">
      <w:pPr>
        <w:pBdr/>
        <w:spacing/>
        <w:ind/>
        <w:jc w:val="both"/>
        <w:rPr/>
      </w:pPr>
      <w:r>
        <w:rPr>
          <w:rFonts w:ascii="Arial" w:hAnsi="Arial" w:cs="Arial"/>
          <w:b/>
        </w:rPr>
        <w:t xml:space="preserve">9.10. </w:t>
      </w:r>
      <w:r>
        <w:rPr>
          <w:rFonts w:ascii="Arial" w:hAnsi="Arial" w:cs="Arial"/>
        </w:rPr>
        <w:t xml:space="preserve">Apó</w:t>
      </w:r>
      <w:r>
        <w:rPr>
          <w:rFonts w:ascii="Arial" w:hAnsi="Arial" w:cs="Arial"/>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p>
    <w:p w14:paraId="36A0B360" w14:textId="77777777">
      <w:pPr>
        <w:pBdr/>
        <w:spacing/>
        <w:ind w:left="284"/>
        <w:jc w:val="both"/>
        <w:rPr>
          <w:rFonts w:ascii="Arial" w:cs="Arial"/>
          <w:b/>
        </w:rPr>
      </w:pPr>
      <w:r>
        <w:rPr>
          <w:rFonts w:ascii="Arial" w:cs="Arial"/>
          <w:b/>
        </w:rPr>
      </w:r>
      <w:r>
        <w:rPr>
          <w:rFonts w:ascii="Arial" w:cs="Arial"/>
          <w:b/>
        </w:rPr>
      </w:r>
    </w:p>
    <w:p w14:paraId="4E0E2DC2" w14:textId="77777777">
      <w:pPr>
        <w:pBdr/>
        <w:spacing/>
        <w:ind w:left="284"/>
        <w:jc w:val="both"/>
        <w:rPr/>
      </w:pPr>
      <w:r>
        <w:rPr>
          <w:rFonts w:ascii="Arial" w:hAnsi="Arial" w:cs="Arial"/>
          <w:b/>
        </w:rPr>
        <w:t xml:space="preserve">9.10.1.</w:t>
      </w:r>
      <w:r>
        <w:rPr>
          <w:rFonts w:ascii="Arial" w:hAnsi="Arial" w:cs="Arial"/>
        </w:rPr>
        <w:t xml:space="preserve"> Só poderá haver empate entre propostas iguais (não seguidas de lances), ou entre lances finais da fase fechada do modo de disputa aberto e fechado.</w:t>
      </w:r>
      <w:r/>
    </w:p>
    <w:p w14:paraId="10FE5B0C" w14:textId="77777777">
      <w:pPr>
        <w:pBdr/>
        <w:spacing/>
        <w:ind w:left="284"/>
        <w:jc w:val="both"/>
        <w:rPr>
          <w:rFonts w:ascii="Arial" w:cs="Arial"/>
          <w:b/>
        </w:rPr>
      </w:pPr>
      <w:r>
        <w:rPr>
          <w:rFonts w:ascii="Arial" w:cs="Arial"/>
          <w:b/>
        </w:rPr>
      </w:r>
      <w:r>
        <w:rPr>
          <w:rFonts w:ascii="Arial" w:cs="Arial"/>
          <w:b/>
        </w:rPr>
      </w:r>
    </w:p>
    <w:p w14:paraId="08F7A099" w14:textId="77777777">
      <w:pPr>
        <w:pBdr/>
        <w:spacing/>
        <w:ind w:left="284"/>
        <w:jc w:val="both"/>
        <w:rPr/>
      </w:pPr>
      <w:r>
        <w:rPr>
          <w:rFonts w:ascii="Arial" w:hAnsi="Arial" w:cs="Arial"/>
          <w:b/>
        </w:rPr>
        <w:t xml:space="preserve">9.10.2.</w:t>
      </w:r>
      <w:r>
        <w:rPr>
          <w:rFonts w:ascii="Arial" w:hAnsi="Arial" w:cs="Arial"/>
        </w:rPr>
        <w:t xml:space="preserve"> Havendo eventual empate entre propostas ou lances, o critério de desempate será aquele previsto no art. 60 da Lei nº 14.133, de 2021.</w:t>
      </w:r>
      <w:r/>
    </w:p>
    <w:p w14:paraId="1ED8BAC4" w14:textId="77777777">
      <w:pPr>
        <w:pBdr/>
        <w:spacing/>
        <w:ind w:left="284"/>
        <w:jc w:val="both"/>
        <w:rPr>
          <w:rFonts w:ascii="Arial" w:cs="Arial"/>
          <w:b/>
        </w:rPr>
      </w:pPr>
      <w:r>
        <w:rPr>
          <w:rFonts w:ascii="Arial" w:cs="Arial"/>
          <w:b/>
        </w:rPr>
      </w:r>
      <w:r>
        <w:rPr>
          <w:rFonts w:ascii="Arial" w:cs="Arial"/>
          <w:b/>
        </w:rPr>
      </w:r>
    </w:p>
    <w:p w14:paraId="7B81B8FB" w14:textId="77777777">
      <w:pPr>
        <w:pBdr/>
        <w:spacing/>
        <w:ind w:left="284"/>
        <w:jc w:val="both"/>
        <w:rPr/>
      </w:pPr>
      <w:r>
        <w:rPr>
          <w:rFonts w:ascii="Arial" w:hAnsi="Arial" w:cs="Arial"/>
          <w:b/>
        </w:rPr>
        <w:t xml:space="preserve">9.10.3. </w:t>
      </w:r>
      <w:r>
        <w:rPr>
          <w:rFonts w:ascii="Arial" w:hAnsi="Arial" w:cs="Arial"/>
        </w:rPr>
        <w:t xml:space="preserve">As regras previstas no (item 9.10) acima mencionado não prejudicarão a aplicação do disposto no art. 44 da Lei Complementar nº 123, de 14 de dezembro de 2006. (Conforme art. 60 da Lei 14.133/21, § 2º).</w:t>
      </w:r>
      <w:r/>
    </w:p>
    <w:p w14:paraId="3AA275D6" w14:textId="77777777">
      <w:pPr>
        <w:pBdr/>
        <w:spacing/>
        <w:ind w:left="284"/>
        <w:jc w:val="both"/>
        <w:rPr>
          <w:rFonts w:ascii="Arial" w:cs="Arial"/>
          <w:b/>
        </w:rPr>
      </w:pPr>
      <w:r>
        <w:rPr>
          <w:rFonts w:ascii="Arial" w:cs="Arial"/>
          <w:b/>
        </w:rPr>
      </w:r>
      <w:r>
        <w:rPr>
          <w:rFonts w:ascii="Arial" w:cs="Arial"/>
          <w:b/>
        </w:rPr>
      </w:r>
    </w:p>
    <w:p w14:paraId="058F67F1" w14:textId="77777777">
      <w:pPr>
        <w:pBdr/>
        <w:spacing/>
        <w:ind/>
        <w:jc w:val="both"/>
        <w:rPr/>
      </w:pPr>
      <w:r>
        <w:rPr>
          <w:rFonts w:ascii="Arial" w:hAnsi="Arial" w:cs="Arial"/>
          <w:b/>
        </w:rPr>
        <w:t xml:space="preserve">9.11.</w:t>
      </w:r>
      <w:r>
        <w:rPr>
          <w:rFonts w:ascii="Arial" w:hAnsi="Arial" w:cs="Arial"/>
        </w:rPr>
        <w:t xml:space="preserve"> Encerrada a etapa de envio</w:t>
      </w:r>
      <w:r>
        <w:rPr>
          <w:rFonts w:ascii="Arial" w:hAnsi="Arial" w:cs="Arial"/>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p>
    <w:p w14:paraId="699329D1" w14:textId="77777777">
      <w:pPr>
        <w:pBdr/>
        <w:spacing/>
        <w:ind w:left="284"/>
        <w:jc w:val="both"/>
        <w:rPr>
          <w:rFonts w:ascii="Arial" w:cs="Arial"/>
          <w:b/>
        </w:rPr>
      </w:pPr>
      <w:r>
        <w:rPr>
          <w:rFonts w:ascii="Arial" w:cs="Arial"/>
          <w:b/>
        </w:rPr>
      </w:r>
      <w:r>
        <w:rPr>
          <w:rFonts w:ascii="Arial" w:cs="Arial"/>
          <w:b/>
        </w:rPr>
      </w:r>
    </w:p>
    <w:p w14:paraId="4DB829A4" w14:textId="77777777">
      <w:pPr>
        <w:pBdr/>
        <w:spacing/>
        <w:ind/>
        <w:jc w:val="both"/>
        <w:rPr/>
      </w:pPr>
      <w:r>
        <w:rPr>
          <w:rFonts w:ascii="Arial" w:hAnsi="Arial" w:cs="Arial"/>
          <w:b/>
        </w:rPr>
        <w:t xml:space="preserve">9.12.</w:t>
      </w:r>
      <w:r>
        <w:rPr>
          <w:rFonts w:ascii="Arial" w:hAnsi="Arial" w:cs="Arial"/>
        </w:rPr>
        <w:t xml:space="preserve"> A negociação poderá</w:t>
      </w:r>
      <w:r>
        <w:rPr>
          <w:rFonts w:ascii="Arial" w:hAnsi="Arial" w:cs="Arial"/>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p>
    <w:p w14:paraId="2D2255F1" w14:textId="77777777">
      <w:pPr>
        <w:pBdr/>
        <w:spacing/>
        <w:ind w:left="284"/>
        <w:jc w:val="both"/>
        <w:rPr>
          <w:rFonts w:ascii="Arial" w:cs="Arial"/>
          <w:b/>
          <w:color w:val="000000"/>
        </w:rPr>
      </w:pPr>
      <w:r>
        <w:rPr>
          <w:rFonts w:ascii="Arial" w:cs="Arial"/>
          <w:b/>
          <w:color w:val="000000"/>
        </w:rPr>
      </w:r>
      <w:r>
        <w:rPr>
          <w:rFonts w:ascii="Arial" w:cs="Arial"/>
          <w:b/>
          <w:color w:val="000000"/>
        </w:rPr>
      </w:r>
    </w:p>
    <w:p w14:paraId="1947BE78" w14:textId="77777777">
      <w:pPr>
        <w:pBdr/>
        <w:spacing/>
        <w:ind/>
        <w:jc w:val="both"/>
        <w:rPr/>
      </w:pPr>
      <w:r>
        <w:rPr>
          <w:rFonts w:ascii="Arial" w:hAnsi="Arial" w:cs="Arial"/>
          <w:b/>
          <w:color w:val="000000"/>
          <w:sz w:val="19"/>
          <w:szCs w:val="19"/>
        </w:rPr>
        <w:t xml:space="preserve">9.13.</w:t>
      </w:r>
      <w:r>
        <w:rPr>
          <w:rFonts w:ascii="Arial" w:hAnsi="Arial" w:cs="Arial"/>
          <w:color w:val="000000"/>
          <w:sz w:val="19"/>
          <w:szCs w:val="19"/>
        </w:rPr>
        <w:t xml:space="preserve"> O pregoeiro solicitará ao licitante melhor classificad</w:t>
      </w:r>
      <w:r>
        <w:rPr>
          <w:rFonts w:ascii="Arial" w:hAnsi="Arial" w:cs="Arial"/>
          <w:color w:val="000000"/>
          <w:sz w:val="19"/>
          <w:szCs w:val="19"/>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r/>
      <w:bookmarkEnd w:id="35"/>
      <w:r/>
    </w:p>
    <w:p w14:paraId="7062B2BE" w14:textId="77777777">
      <w:pPr>
        <w:pBdr/>
        <w:spacing/>
        <w:ind w:left="284"/>
        <w:jc w:val="both"/>
        <w:rPr>
          <w:rFonts w:ascii="Arial" w:cs="Arial"/>
          <w:b/>
          <w:color w:val="000000"/>
        </w:rPr>
      </w:pPr>
      <w:r>
        <w:rPr>
          <w:rFonts w:ascii="Arial" w:cs="Arial"/>
          <w:b/>
          <w:color w:val="000000"/>
        </w:rPr>
      </w:r>
      <w:r>
        <w:rPr>
          <w:rFonts w:ascii="Arial" w:cs="Arial"/>
          <w:b/>
          <w:color w:val="000000"/>
        </w:rPr>
      </w:r>
    </w:p>
    <w:p w14:paraId="15702939" w14:textId="77777777">
      <w:pPr>
        <w:pBdr/>
        <w:spacing/>
        <w:ind/>
        <w:jc w:val="both"/>
        <w:rPr/>
      </w:pPr>
      <w:r>
        <w:rPr>
          <w:rFonts w:ascii="Arial" w:hAnsi="Arial" w:cs="Arial"/>
          <w:b/>
          <w:color w:val="000000"/>
        </w:rPr>
        <w:t xml:space="preserve">9.14.</w:t>
      </w:r>
      <w:r>
        <w:rPr>
          <w:rFonts w:ascii="Arial" w:hAnsi="Arial" w:cs="Arial"/>
          <w:color w:val="000000"/>
        </w:rPr>
        <w:t xml:space="preserve"> É facultado ao pregoeiro prorrogar o prazo estabelecido, a partir de solicitação fundamentada feita no chat pelo licitante, antes de findo o prazo.</w:t>
      </w:r>
      <w:r/>
    </w:p>
    <w:p w14:paraId="0AEA2F79" w14:textId="77777777">
      <w:pPr>
        <w:pBdr/>
        <w:spacing/>
        <w:ind w:left="284"/>
        <w:jc w:val="both"/>
        <w:rPr>
          <w:rFonts w:ascii="Arial" w:cs="Arial"/>
          <w:color w:val="000000"/>
        </w:rPr>
      </w:pPr>
      <w:r>
        <w:rPr>
          <w:rFonts w:ascii="Arial" w:cs="Arial"/>
          <w:color w:val="000000"/>
        </w:rPr>
      </w:r>
      <w:r>
        <w:rPr>
          <w:rFonts w:ascii="Arial" w:cs="Arial"/>
          <w:color w:val="000000"/>
        </w:rPr>
      </w:r>
    </w:p>
    <w:p w14:paraId="552BFE89" w14:textId="77777777">
      <w:pPr>
        <w:pStyle w:val="873"/>
        <w:pBdr/>
        <w:spacing w:after="0" w:before="0"/>
        <w:ind/>
        <w:rPr>
          <w:lang w:val="pt-BR"/>
        </w:rPr>
      </w:pPr>
      <w:r/>
      <w:bookmarkStart w:id="36" w:name="_Toc8714"/>
      <w:r/>
      <w:bookmarkStart w:id="37" w:name="_Toc190764800"/>
      <w:r>
        <w:rPr>
          <w:sz w:val="20"/>
          <w:lang w:val="pt-BR"/>
        </w:rPr>
        <w:t xml:space="preserve">10. DO JULGAMENTO DA(S) PROPOSTA(S) DE PREÇOS APÓS A CLASSIFICAÇÃO FINAL:</w:t>
      </w:r>
      <w:bookmarkEnd w:id="36"/>
      <w:r/>
      <w:bookmarkEnd w:id="37"/>
      <w:r>
        <w:rPr>
          <w:sz w:val="20"/>
          <w:lang w:val="pt-BR"/>
        </w:rPr>
        <w:t xml:space="preserve"> </w:t>
      </w:r>
      <w:r>
        <w:rPr>
          <w:lang w:val="pt-BR"/>
        </w:rPr>
      </w:r>
    </w:p>
    <w:p w14:paraId="13D0B5D9" w14:textId="77777777">
      <w:pPr>
        <w:pBdr/>
        <w:spacing/>
        <w:ind w:left="284"/>
        <w:jc w:val="both"/>
        <w:rPr>
          <w:rFonts w:ascii="Arial" w:cs="Arial"/>
          <w:b/>
        </w:rPr>
      </w:pPr>
      <w:r/>
      <w:bookmarkStart w:id="38" w:name="_Ref117019424"/>
      <w:r/>
      <w:r>
        <w:rPr>
          <w:rFonts w:ascii="Arial" w:cs="Arial"/>
          <w:b/>
        </w:rPr>
      </w:r>
    </w:p>
    <w:p w14:paraId="48DD04C6" w14:textId="77777777">
      <w:pPr>
        <w:pBdr/>
        <w:spacing/>
        <w:ind/>
        <w:jc w:val="both"/>
        <w:rPr/>
      </w:pPr>
      <w:r>
        <w:rPr>
          <w:rFonts w:ascii="Arial" w:hAnsi="Arial" w:cs="Arial"/>
          <w:b/>
        </w:rPr>
        <w:t xml:space="preserve">10.1.</w:t>
      </w:r>
      <w:r>
        <w:rPr>
          <w:rFonts w:ascii="Arial" w:hAnsi="Arial" w:cs="Arial"/>
        </w:rPr>
        <w:t xml:space="preserve"> Encerrada a etapa de negociação, o pregoeiro verificará se o licitante provisoriamente classificado em primeiro lugar atende às condições de participação no certame, conforme previsto no </w:t>
      </w:r>
      <w:hyperlink r:id="rId20" w:tooltip="http://www.planalto.gov.br/ccivil_03/_ato2019-2022/2021/lei/L14133.htm#art14" w:anchor="art14" w:history="1">
        <w:r>
          <w:rPr>
            <w:rFonts w:ascii="Arial" w:hAnsi="Arial" w:cs="Arial"/>
          </w:rPr>
          <w:t xml:space="preserve">art. 14 da Lei nº 14.133/2021</w:t>
        </w:r>
      </w:hyperlink>
      <w:r>
        <w:rPr>
          <w:rFonts w:ascii="Arial" w:hAnsi="Arial" w:cs="Arial"/>
        </w:rPr>
        <w:t xml:space="preserve">, legislação correlata e no item do edital, </w:t>
      </w:r>
      <w:bookmarkEnd w:id="38"/>
      <w:r>
        <w:rPr>
          <w:rFonts w:ascii="Arial" w:hAnsi="Arial" w:cs="Arial"/>
        </w:rPr>
        <w:t xml:space="preserve">especialmente quanto à existência de sanção que impeça a participação no certame ou a futura contratação, mediante a consulta aos seguintes cadastros:</w:t>
      </w:r>
      <w:r/>
    </w:p>
    <w:p w14:paraId="620CE995" w14:textId="77777777">
      <w:pPr>
        <w:pBdr/>
        <w:spacing/>
        <w:ind w:left="284"/>
        <w:jc w:val="both"/>
        <w:rPr>
          <w:rFonts w:ascii="Arial" w:cs="Arial"/>
          <w:b/>
          <w:color w:val="000000"/>
        </w:rPr>
      </w:pPr>
      <w:r>
        <w:rPr>
          <w:rFonts w:ascii="Arial" w:cs="Arial"/>
          <w:b/>
          <w:color w:val="000000"/>
        </w:rPr>
      </w:r>
      <w:r>
        <w:rPr>
          <w:rFonts w:ascii="Arial" w:cs="Arial"/>
          <w:b/>
          <w:color w:val="000000"/>
        </w:rPr>
      </w:r>
    </w:p>
    <w:p w14:paraId="2469E82D" w14:textId="77777777">
      <w:pPr>
        <w:pBdr/>
        <w:spacing/>
        <w:ind w:left="284"/>
        <w:jc w:val="both"/>
        <w:rPr/>
      </w:pPr>
      <w:r>
        <w:rPr>
          <w:rFonts w:ascii="Arial" w:hAnsi="Arial" w:cs="Arial"/>
          <w:b/>
          <w:color w:val="000000"/>
        </w:rPr>
        <w:t xml:space="preserve">10.1.1. </w:t>
      </w:r>
      <w:r>
        <w:rPr>
          <w:rFonts w:ascii="Arial" w:hAnsi="Arial" w:cs="Arial"/>
          <w:color w:val="000000"/>
        </w:rPr>
        <w:t xml:space="preserve">Casos não se realizem lances serão verificados a conformidade entre a proposta de MENOR PREÇO / MENOR TAXA e o valor estimado da contratação, podendo o Pregoeiro negociar com o licitante afim de conseguir menor preço. </w:t>
      </w:r>
      <w:r/>
    </w:p>
    <w:p w14:paraId="0DFCC12B" w14:textId="77777777">
      <w:pPr>
        <w:pBdr/>
        <w:spacing/>
        <w:ind w:left="284"/>
        <w:jc w:val="both"/>
        <w:rPr>
          <w:rFonts w:ascii="Arial" w:cs="Arial"/>
          <w:b/>
          <w:sz w:val="19"/>
          <w:szCs w:val="19"/>
        </w:rPr>
      </w:pPr>
      <w:r>
        <w:rPr>
          <w:rFonts w:ascii="Arial" w:cs="Arial"/>
          <w:b/>
          <w:sz w:val="19"/>
          <w:szCs w:val="19"/>
        </w:rPr>
      </w:r>
      <w:r>
        <w:rPr>
          <w:rFonts w:ascii="Arial" w:cs="Arial"/>
          <w:b/>
          <w:sz w:val="19"/>
          <w:szCs w:val="19"/>
        </w:rPr>
      </w:r>
    </w:p>
    <w:p w14:paraId="348B58A7" w14:textId="77777777">
      <w:pPr>
        <w:pBdr/>
        <w:spacing/>
        <w:ind/>
        <w:jc w:val="both"/>
        <w:rPr/>
      </w:pPr>
      <w:r>
        <w:rPr>
          <w:rFonts w:ascii="Arial" w:hAnsi="Arial" w:cs="Arial"/>
          <w:b/>
          <w:color w:val="000000"/>
          <w:sz w:val="19"/>
          <w:szCs w:val="19"/>
        </w:rPr>
        <w:t xml:space="preserve">10.2.</w:t>
      </w:r>
      <w:r>
        <w:rPr>
          <w:rFonts w:ascii="Arial" w:hAnsi="Arial" w:cs="Arial"/>
          <w:color w:val="000000"/>
          <w:sz w:val="19"/>
          <w:szCs w:val="19"/>
        </w:rPr>
        <w:t xml:space="preserve"> Da aceitabilidade da proposta melhor classificada, não será aceita a proposta ou melhor lance classificado cujo preço seja acima do valor estimado pela Secretaria solicitante ou quando este for manifestamente inexequível. </w:t>
      </w:r>
      <w:r/>
    </w:p>
    <w:p w14:paraId="60D4C3D3" w14:textId="77777777">
      <w:pPr>
        <w:pBdr/>
        <w:spacing/>
        <w:ind w:left="284"/>
        <w:jc w:val="both"/>
        <w:rPr>
          <w:rFonts w:ascii="Arial" w:cs="Arial"/>
          <w:b/>
        </w:rPr>
      </w:pPr>
      <w:r>
        <w:rPr>
          <w:rFonts w:ascii="Arial" w:cs="Arial"/>
          <w:b/>
        </w:rPr>
      </w:r>
      <w:r>
        <w:rPr>
          <w:rFonts w:ascii="Arial" w:cs="Arial"/>
          <w:b/>
        </w:rPr>
      </w:r>
    </w:p>
    <w:p w14:paraId="5D696897" w14:textId="77777777">
      <w:pPr>
        <w:pBdr/>
        <w:spacing/>
        <w:ind w:left="284"/>
        <w:jc w:val="both"/>
        <w:rPr/>
      </w:pPr>
      <w:r>
        <w:rPr>
          <w:rFonts w:ascii="Arial" w:hAnsi="Arial" w:cs="Arial"/>
          <w:b/>
        </w:rPr>
        <w:t xml:space="preserve">10.2.1. </w:t>
      </w:r>
      <w:r>
        <w:rPr>
          <w:rFonts w:ascii="Arial" w:hAnsi="Arial" w:cs="Arial"/>
        </w:rPr>
        <w:t xml:space="preserve">Considera-se inexequível a proposta de preços, menor lance ou Menor Preço / Menor Taxa </w:t>
      </w:r>
      <w:r>
        <w:rPr>
          <w:rFonts w:ascii="Arial" w:hAnsi="Arial" w:cs="Arial"/>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cs="Arial"/>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p>
    <w:p w14:paraId="2FDE5B1F" w14:textId="77777777">
      <w:pPr>
        <w:pBdr/>
        <w:spacing/>
        <w:ind w:left="284"/>
        <w:jc w:val="both"/>
        <w:rPr>
          <w:rFonts w:ascii="Arial" w:cs="Arial"/>
        </w:rPr>
      </w:pPr>
      <w:r>
        <w:rPr>
          <w:rFonts w:ascii="Arial" w:cs="Arial"/>
        </w:rPr>
      </w:r>
      <w:r>
        <w:rPr>
          <w:rFonts w:ascii="Arial" w:cs="Arial"/>
        </w:rPr>
      </w:r>
    </w:p>
    <w:p w14:paraId="005A8E2E" w14:textId="77777777">
      <w:pPr>
        <w:pBdr/>
        <w:spacing/>
        <w:ind/>
        <w:jc w:val="both"/>
        <w:rPr/>
      </w:pPr>
      <w:r>
        <w:rPr>
          <w:rFonts w:ascii="Arial" w:hAnsi="Arial" w:cs="Arial"/>
          <w:b/>
          <w:color w:val="000000"/>
          <w:sz w:val="19"/>
          <w:szCs w:val="19"/>
        </w:rPr>
        <w:t xml:space="preserve">10.3. </w:t>
      </w:r>
      <w:r>
        <w:rPr>
          <w:rFonts w:ascii="Arial" w:hAnsi="Arial" w:cs="Arial"/>
          <w:color w:val="000000"/>
          <w:sz w:val="19"/>
          <w:szCs w:val="19"/>
        </w:rPr>
        <w:t xml:space="preserve">Se houver indícios de inexequibilidade da proposta de preço, ou em caso da necessidade de esclarecimentos complementares, poderão ser efetuadas diligências,</w:t>
      </w:r>
      <w:r>
        <w:rPr>
          <w:rFonts w:ascii="Arial" w:hAnsi="Arial" w:cs="Arial"/>
          <w:color w:val="ff0000"/>
          <w:sz w:val="19"/>
          <w:szCs w:val="19"/>
        </w:rPr>
        <w:t xml:space="preserve"> </w:t>
      </w:r>
      <w:r>
        <w:rPr>
          <w:rFonts w:ascii="Arial" w:hAnsi="Arial" w:cs="Arial"/>
          <w:color w:val="000000"/>
          <w:sz w:val="19"/>
          <w:szCs w:val="19"/>
        </w:rPr>
        <w:t xml:space="preserve">para aferir a exequibilidade das propostas ou exigir dos licitantes que ela seja demonstrada, conforme disposto no inciso IV do </w:t>
      </w:r>
      <w:r>
        <w:rPr>
          <w:rFonts w:ascii="Arial" w:hAnsi="Arial" w:cs="Arial"/>
          <w:b/>
          <w:color w:val="000000"/>
          <w:sz w:val="19"/>
          <w:szCs w:val="19"/>
        </w:rPr>
        <w:t xml:space="preserve">caput</w:t>
      </w:r>
      <w:r>
        <w:rPr>
          <w:rFonts w:ascii="Arial" w:hAnsi="Arial" w:cs="Arial"/>
          <w:color w:val="000000"/>
          <w:sz w:val="19"/>
          <w:szCs w:val="19"/>
        </w:rPr>
        <w:t xml:space="preserve"> do artigo 59 da Lei 14.133/2021.</w:t>
      </w:r>
      <w:r/>
    </w:p>
    <w:p w14:paraId="2D0D2CFD" w14:textId="77777777">
      <w:pPr>
        <w:pBdr/>
        <w:spacing/>
        <w:ind w:left="284"/>
        <w:jc w:val="both"/>
        <w:rPr>
          <w:rFonts w:ascii="Arial" w:cs="Arial"/>
          <w:b/>
          <w:sz w:val="19"/>
          <w:szCs w:val="19"/>
        </w:rPr>
      </w:pPr>
      <w:r>
        <w:rPr>
          <w:rFonts w:ascii="Arial" w:cs="Arial"/>
          <w:b/>
          <w:sz w:val="19"/>
          <w:szCs w:val="19"/>
        </w:rPr>
      </w:r>
      <w:r>
        <w:rPr>
          <w:rFonts w:ascii="Arial" w:cs="Arial"/>
          <w:b/>
          <w:sz w:val="19"/>
          <w:szCs w:val="19"/>
        </w:rPr>
      </w:r>
    </w:p>
    <w:p w14:paraId="6D83BB2D" w14:textId="77777777">
      <w:pPr>
        <w:pBdr/>
        <w:spacing/>
        <w:ind/>
        <w:jc w:val="both"/>
        <w:rPr/>
      </w:pPr>
      <w:r>
        <w:rPr>
          <w:rFonts w:ascii="Arial" w:hAnsi="Arial" w:cs="Arial"/>
          <w:b/>
        </w:rPr>
        <w:t xml:space="preserve">10.4. </w:t>
      </w:r>
      <w:r>
        <w:rPr>
          <w:rFonts w:ascii="Arial" w:hAnsi="Arial" w:cs="Arial"/>
        </w:rPr>
        <w:t xml:space="preserve">P</w:t>
      </w:r>
      <w:r>
        <w:rPr>
          <w:rFonts w:ascii="Arial" w:hAnsi="Arial" w:cs="Arial"/>
          <w:color w:val="000000"/>
          <w:lang w:eastAsia="en-US"/>
        </w:rPr>
        <w:t xml:space="preserve">oderá convocar o licitante para enviar planilhas de custo readequadas com o valor final por ele ofertado, nesse sentido, todos</w:t>
      </w:r>
      <w:r>
        <w:rPr>
          <w:rFonts w:ascii="Arial" w:hAnsi="Arial" w:cs="Arial"/>
          <w:color w:val="000000"/>
        </w:rPr>
        <w:t xml:space="preserve"> os dados informados pelo licitante em sua planilha deverão refletir com fidelidade os custos especificados e a margem de lucro pretendida, </w:t>
      </w:r>
      <w:r>
        <w:rPr>
          <w:rFonts w:ascii="Arial" w:hAnsi="Arial" w:cs="Arial"/>
          <w:color w:val="000000"/>
          <w:lang w:eastAsia="en-US"/>
        </w:rPr>
        <w:t xml:space="preserve">sob pena de não aceitação da proposta.</w:t>
      </w:r>
      <w:r/>
    </w:p>
    <w:p w14:paraId="71B0B0B2" w14:textId="77777777">
      <w:pPr>
        <w:pBdr/>
        <w:spacing/>
        <w:ind w:left="284"/>
        <w:jc w:val="both"/>
        <w:rPr>
          <w:rFonts w:ascii="Arial" w:cs="Arial"/>
          <w:color w:val="000000"/>
          <w:lang w:eastAsia="en-US"/>
        </w:rPr>
      </w:pPr>
      <w:r>
        <w:rPr>
          <w:rFonts w:ascii="Arial" w:cs="Arial"/>
          <w:color w:val="000000"/>
          <w:lang w:eastAsia="en-US"/>
        </w:rPr>
      </w:r>
      <w:r>
        <w:rPr>
          <w:rFonts w:ascii="Arial" w:cs="Arial"/>
          <w:color w:val="000000"/>
          <w:lang w:eastAsia="en-US"/>
        </w:rPr>
      </w:r>
    </w:p>
    <w:p w14:paraId="2277868A" w14:textId="77777777">
      <w:pPr>
        <w:pBdr/>
        <w:spacing/>
        <w:ind/>
        <w:jc w:val="both"/>
        <w:rPr/>
      </w:pPr>
      <w:r>
        <w:rPr>
          <w:rFonts w:ascii="Arial" w:hAnsi="Arial" w:cs="Arial"/>
          <w:b/>
          <w:color w:val="000000"/>
          <w:lang w:eastAsia="en-US"/>
        </w:rPr>
        <w:t xml:space="preserve">10.5.</w:t>
      </w:r>
      <w:r>
        <w:rPr>
          <w:rFonts w:ascii="Arial" w:hAnsi="Arial" w:cs="Arial"/>
          <w:color w:val="000000"/>
          <w:lang w:eastAsia="en-US"/>
        </w:rPr>
        <w:t xml:space="preserve"> O Pregoeiro auxiliado pela equipe técnica analisará a compatibilidade dos preços unitários apresentados na Planilha de Custos e Formação de Preços com aqueles descritos no termo de referência.</w:t>
      </w:r>
      <w:r/>
    </w:p>
    <w:p w14:paraId="5E7128EF" w14:textId="77777777">
      <w:pPr>
        <w:pBdr/>
        <w:spacing/>
        <w:ind w:left="284"/>
        <w:jc w:val="both"/>
        <w:rPr>
          <w:rFonts w:ascii="Arial" w:cs="Arial"/>
          <w:color w:val="000000"/>
          <w:lang w:eastAsia="en-US"/>
        </w:rPr>
      </w:pPr>
      <w:r>
        <w:rPr>
          <w:rFonts w:ascii="Arial" w:cs="Arial"/>
          <w:color w:val="000000"/>
          <w:lang w:eastAsia="en-US"/>
        </w:rPr>
      </w:r>
      <w:r>
        <w:rPr>
          <w:rFonts w:ascii="Arial" w:cs="Arial"/>
          <w:color w:val="000000"/>
          <w:lang w:eastAsia="en-US"/>
        </w:rPr>
      </w:r>
    </w:p>
    <w:p w14:paraId="363C39A2" w14:textId="77777777">
      <w:pPr>
        <w:pBdr/>
        <w:spacing/>
        <w:ind/>
        <w:jc w:val="both"/>
        <w:rPr/>
      </w:pPr>
      <w:r>
        <w:rPr>
          <w:rFonts w:ascii="Arial" w:hAnsi="Arial" w:cs="Arial"/>
          <w:b/>
          <w:color w:val="000000"/>
          <w:lang w:eastAsia="en-US"/>
        </w:rPr>
        <w:t xml:space="preserve">10.6.</w:t>
      </w:r>
      <w:r>
        <w:rPr>
          <w:rFonts w:ascii="Arial" w:hAnsi="Arial" w:cs="Arial"/>
          <w:color w:val="000000"/>
          <w:lang w:eastAsia="en-US"/>
        </w:rPr>
        <w:t xml:space="preserve"> </w:t>
      </w:r>
      <w:r>
        <w:rPr>
          <w:rFonts w:ascii="Arial" w:hAnsi="Arial" w:cs="Arial"/>
          <w:b/>
          <w:color w:val="000000"/>
          <w:lang w:eastAsia="en-US"/>
        </w:rPr>
        <w:t xml:space="preserve">Se a oferta da primeira classificada</w:t>
      </w:r>
      <w:r>
        <w:rPr>
          <w:rFonts w:ascii="Arial" w:hAnsi="Arial" w:cs="Arial"/>
          <w:color w:val="000000"/>
          <w:lang w:eastAsia="en-US"/>
        </w:rPr>
        <w:t xml:space="preserve"> não for aceitável ou se a licitante desatender às exigências habilitatórias, será examinado a oferta subsequente, verifican</w:t>
      </w:r>
      <w:r>
        <w:rPr>
          <w:rFonts w:ascii="Arial" w:hAnsi="Arial" w:cs="Arial"/>
          <w:color w:val="000000"/>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p>
    <w:p w14:paraId="3F7BC967" w14:textId="77777777">
      <w:pPr>
        <w:pBdr/>
        <w:spacing/>
        <w:ind w:left="284"/>
        <w:jc w:val="both"/>
        <w:rPr>
          <w:rFonts w:ascii="Arial" w:cs="Arial"/>
          <w:color w:val="000000"/>
          <w:lang w:eastAsia="en-US"/>
        </w:rPr>
      </w:pPr>
      <w:r>
        <w:rPr>
          <w:rFonts w:ascii="Arial" w:cs="Arial"/>
          <w:color w:val="000000"/>
          <w:lang w:eastAsia="en-US"/>
        </w:rPr>
      </w:r>
      <w:r>
        <w:rPr>
          <w:rFonts w:ascii="Arial" w:cs="Arial"/>
          <w:color w:val="000000"/>
          <w:lang w:eastAsia="en-US"/>
        </w:rPr>
      </w:r>
    </w:p>
    <w:p w14:paraId="0AEA4E30" w14:textId="77777777">
      <w:pPr>
        <w:pStyle w:val="873"/>
        <w:pBdr/>
        <w:spacing w:after="0" w:before="0"/>
        <w:ind/>
        <w:rPr>
          <w:lang w:val="pt-BR"/>
        </w:rPr>
      </w:pPr>
      <w:r/>
      <w:bookmarkStart w:id="39" w:name="_Toc20005"/>
      <w:r/>
      <w:bookmarkStart w:id="40" w:name="_Toc190764801"/>
      <w:r>
        <w:rPr>
          <w:sz w:val="20"/>
          <w:lang w:val="pt-BR"/>
        </w:rPr>
        <w:t xml:space="preserve">11. DO ENVIO DAS PROPOSTAS REALINHADAS APÓS CONHECIDA A EMPRESA VENCEDORA:</w:t>
      </w:r>
      <w:bookmarkEnd w:id="39"/>
      <w:r/>
      <w:bookmarkEnd w:id="40"/>
      <w:r/>
      <w:r>
        <w:rPr>
          <w:lang w:val="pt-BR"/>
        </w:rPr>
      </w:r>
    </w:p>
    <w:p w14:paraId="59C62BC7" w14:textId="77777777">
      <w:pPr>
        <w:pBdr/>
        <w:spacing/>
        <w:ind/>
        <w:rPr>
          <w:rFonts w:ascii="Arial" w:cs="Arial"/>
        </w:rPr>
      </w:pPr>
      <w:r>
        <w:rPr>
          <w:rFonts w:ascii="Arial" w:cs="Arial"/>
        </w:rPr>
      </w:r>
      <w:r>
        <w:rPr>
          <w:rFonts w:ascii="Arial" w:cs="Arial"/>
        </w:rPr>
      </w:r>
    </w:p>
    <w:p w14:paraId="228A4ECE" w14:textId="77777777">
      <w:pPr>
        <w:pBdr/>
        <w:spacing/>
        <w:ind/>
        <w:jc w:val="both"/>
        <w:rPr/>
      </w:pPr>
      <w:r>
        <w:rPr>
          <w:rFonts w:ascii="Arial" w:hAnsi="Arial" w:cs="Arial"/>
          <w:b/>
          <w:color w:val="000000"/>
        </w:rPr>
        <w:t xml:space="preserve">11.1.</w:t>
      </w:r>
      <w:r>
        <w:rPr>
          <w:rFonts w:ascii="Arial" w:hAnsi="Arial" w:cs="Arial"/>
          <w:color w:val="000000"/>
        </w:rPr>
        <w:t xml:space="preserve"> Após a realização da sessão pública a licitante vencedora da etapa de lances e habilitada na fase de documentos no prazo máximo de </w:t>
      </w:r>
      <w:r>
        <w:rPr>
          <w:rFonts w:ascii="Arial" w:hAnsi="Arial" w:cs="Arial"/>
          <w:color w:val="000000"/>
          <w:u w:val="single"/>
        </w:rPr>
        <w:t xml:space="preserve">02 (duas) horas</w:t>
      </w:r>
      <w:r>
        <w:rPr>
          <w:rFonts w:ascii="Arial" w:hAnsi="Arial" w:cs="Arial"/>
          <w:color w:val="000000"/>
        </w:rPr>
        <w:t xml:space="preserve">, contados do encerramento da sessão, deverá cadastrar a </w:t>
      </w:r>
      <w:r>
        <w:rPr>
          <w:rFonts w:ascii="Arial" w:hAnsi="Arial" w:cs="Arial"/>
          <w:b/>
          <w:color w:val="000000"/>
        </w:rPr>
        <w:t xml:space="preserve">Proposta de Preços Realinhada na plataforma BLL, </w:t>
      </w:r>
      <w:r>
        <w:rPr>
          <w:rFonts w:ascii="Arial" w:hAnsi="Arial" w:cs="Arial"/>
          <w:color w:val="000000"/>
        </w:rPr>
        <w:t xml:space="preserve">bem como, encaminha-la </w:t>
      </w:r>
      <w:r>
        <w:rPr>
          <w:rFonts w:ascii="Arial" w:hAnsi="Arial" w:cs="Arial"/>
        </w:rPr>
        <w:t xml:space="preserve">devidamente datadas e assinadas na última folha e rubricadas nas demais pelo representante legal da empresa. (</w:t>
      </w:r>
      <w:r>
        <w:rPr>
          <w:rFonts w:ascii="Arial" w:hAnsi="Arial" w:cs="Arial"/>
          <w:b/>
        </w:rPr>
        <w:t xml:space="preserve">Endereço eletrônico e-mail: </w:t>
      </w:r>
      <w:hyperlink r:id="rId21" w:tooltip="mailto:pmrroo@hotmail.com" w:history="1">
        <w:r>
          <w:rPr>
            <w:rFonts w:ascii="Arial" w:hAnsi="Arial" w:cs="Arial"/>
            <w:b/>
            <w:color w:val="000000"/>
            <w:u w:val="single"/>
          </w:rPr>
          <w:t xml:space="preserve">pmrroo@hotmail.com</w:t>
        </w:r>
      </w:hyperlink>
      <w:r>
        <w:rPr>
          <w:rFonts w:ascii="Arial" w:hAnsi="Arial" w:cs="Arial"/>
        </w:rPr>
        <w:t xml:space="preserve">).</w:t>
      </w:r>
      <w:r/>
    </w:p>
    <w:p w14:paraId="2EFE02B0" w14:textId="77777777">
      <w:pPr>
        <w:pBdr/>
        <w:spacing/>
        <w:ind w:left="284"/>
        <w:jc w:val="both"/>
        <w:rPr>
          <w:rFonts w:ascii="Arial" w:cs="Arial"/>
          <w:b/>
          <w:color w:val="000000"/>
        </w:rPr>
      </w:pPr>
      <w:r>
        <w:rPr>
          <w:rFonts w:ascii="Arial" w:cs="Arial"/>
          <w:b/>
          <w:color w:val="000000"/>
        </w:rPr>
      </w:r>
      <w:r>
        <w:rPr>
          <w:rFonts w:ascii="Arial" w:cs="Arial"/>
          <w:b/>
          <w:color w:val="000000"/>
        </w:rPr>
      </w:r>
    </w:p>
    <w:p w14:paraId="61B9E936" w14:textId="77777777">
      <w:pPr>
        <w:pBdr/>
        <w:spacing/>
        <w:ind w:left="284"/>
        <w:jc w:val="both"/>
        <w:rPr/>
      </w:pPr>
      <w:r>
        <w:rPr>
          <w:rFonts w:ascii="Arial" w:hAnsi="Arial" w:cs="Arial"/>
          <w:b/>
          <w:color w:val="000000"/>
        </w:rPr>
        <w:t xml:space="preserve">11.1.1.</w:t>
      </w:r>
      <w:r>
        <w:rPr>
          <w:rFonts w:ascii="Arial" w:hAnsi="Arial" w:cs="Arial"/>
          <w:color w:val="000000"/>
        </w:rPr>
        <w:t xml:space="preserve"> Caso o licitante venha a ser classificado em razão da desclassificação do(s) primeiro(s) colocado(s), este também terá </w:t>
      </w:r>
      <w:r>
        <w:rPr>
          <w:rFonts w:ascii="Arial" w:hAnsi="Arial" w:cs="Arial"/>
          <w:color w:val="000000"/>
          <w:u w:val="single"/>
        </w:rPr>
        <w:t xml:space="preserve">02 (duas) horas</w:t>
      </w:r>
      <w:r>
        <w:rPr>
          <w:rFonts w:ascii="Arial" w:hAnsi="Arial" w:cs="Arial"/>
          <w:color w:val="000000"/>
        </w:rPr>
        <w:t xml:space="preserve"> a partir da data da comunicação de sua classificação para efetuar a recomposição de preços. </w:t>
      </w:r>
      <w:r/>
    </w:p>
    <w:p w14:paraId="34349D33" w14:textId="77777777">
      <w:pPr>
        <w:pBdr/>
        <w:spacing/>
        <w:ind w:left="284"/>
        <w:jc w:val="both"/>
        <w:rPr>
          <w:rFonts w:ascii="Arial" w:cs="Arial"/>
          <w:color w:val="000000"/>
        </w:rPr>
      </w:pPr>
      <w:r>
        <w:rPr>
          <w:rFonts w:ascii="Arial" w:cs="Arial"/>
          <w:color w:val="000000"/>
        </w:rPr>
      </w:r>
      <w:r>
        <w:rPr>
          <w:rFonts w:ascii="Arial" w:cs="Arial"/>
          <w:color w:val="000000"/>
        </w:rPr>
      </w:r>
    </w:p>
    <w:p w14:paraId="617F8C89" w14:textId="77777777">
      <w:pPr>
        <w:pBdr/>
        <w:spacing/>
        <w:ind w:left="284"/>
        <w:jc w:val="both"/>
        <w:rPr/>
      </w:pPr>
      <w:r>
        <w:rPr>
          <w:rFonts w:ascii="Arial" w:hAnsi="Arial" w:cs="Arial"/>
          <w:b/>
          <w:color w:val="000000"/>
        </w:rPr>
        <w:t xml:space="preserve">11.1.2.</w:t>
      </w:r>
      <w:r>
        <w:rPr>
          <w:rFonts w:ascii="Arial" w:hAnsi="Arial" w:cs="Arial"/>
          <w:color w:val="000000"/>
          <w:sz w:val="19"/>
          <w:szCs w:val="19"/>
        </w:rPr>
        <w:t xml:space="preserve"> </w:t>
      </w:r>
      <w:r>
        <w:rPr>
          <w:rFonts w:ascii="Arial" w:hAnsi="Arial" w:cs="Arial"/>
          <w:color w:val="000000"/>
        </w:rPr>
        <w:t xml:space="preserve">É facultado ao pregoeiro prorrogar o prazo estabelecido, a partir de solicitação fundamentada feita no chat pelo licitante, antes do final do prazo de 02 (duas) horas.</w:t>
      </w:r>
      <w:r/>
    </w:p>
    <w:p w14:paraId="753F49E5" w14:textId="77777777">
      <w:pPr>
        <w:pBdr/>
        <w:spacing/>
        <w:ind w:left="284"/>
        <w:jc w:val="both"/>
        <w:rPr>
          <w:rFonts w:ascii="Arial" w:cs="Arial"/>
          <w:b/>
          <w:color w:val="000000"/>
        </w:rPr>
      </w:pPr>
      <w:r>
        <w:rPr>
          <w:rFonts w:ascii="Arial" w:cs="Arial"/>
          <w:b/>
          <w:color w:val="000000"/>
        </w:rPr>
      </w:r>
      <w:r>
        <w:rPr>
          <w:rFonts w:ascii="Arial" w:cs="Arial"/>
          <w:b/>
          <w:color w:val="000000"/>
        </w:rPr>
      </w:r>
    </w:p>
    <w:p w14:paraId="1802C623" w14:textId="77777777">
      <w:pPr>
        <w:pBdr/>
        <w:spacing/>
        <w:ind/>
        <w:jc w:val="both"/>
        <w:rPr/>
      </w:pPr>
      <w:r>
        <w:rPr>
          <w:rFonts w:ascii="Arial" w:hAnsi="Arial" w:cs="Arial"/>
          <w:b/>
          <w:color w:val="000000"/>
        </w:rPr>
        <w:t xml:space="preserve">11.2.</w:t>
      </w:r>
      <w:r>
        <w:rPr>
          <w:rFonts w:ascii="Arial" w:hAnsi="Arial" w:cs="Arial"/>
          <w:color w:val="000000"/>
        </w:rPr>
        <w:t xml:space="preserve"> A proposta de preços realinhada deverá ser redigida com clareza em língua portuguesa, salvo quanto a expressões técnicas de uso corrente, sem alternativas, emendas, rasuras ou entrelinhas.</w:t>
      </w:r>
      <w:r/>
    </w:p>
    <w:p w14:paraId="3D77EE94" w14:textId="77777777">
      <w:pPr>
        <w:pBdr/>
        <w:spacing/>
        <w:ind w:left="284"/>
        <w:jc w:val="both"/>
        <w:rPr/>
      </w:pPr>
      <w:r>
        <w:rPr>
          <w:rFonts w:ascii="Arial" w:hAnsi="Arial" w:cs="Arial"/>
          <w:b/>
          <w:color w:val="000000"/>
        </w:rPr>
        <w:t xml:space="preserve"> </w:t>
      </w:r>
      <w:r/>
    </w:p>
    <w:p w14:paraId="3D0870A4" w14:textId="77777777">
      <w:pPr>
        <w:pBdr/>
        <w:spacing/>
        <w:ind/>
        <w:jc w:val="both"/>
        <w:rPr/>
      </w:pPr>
      <w:r>
        <w:rPr>
          <w:rFonts w:ascii="Arial" w:hAnsi="Arial" w:cs="Arial"/>
          <w:b/>
          <w:color w:val="000000"/>
        </w:rPr>
        <w:t xml:space="preserve">11.3.</w:t>
      </w:r>
      <w:r>
        <w:rPr>
          <w:rFonts w:ascii="Arial" w:hAnsi="Arial" w:cs="Arial"/>
          <w:color w:val="000000"/>
        </w:rPr>
        <w:t xml:space="preserve"> Não serão aceitas propostas com valores unitários e totais com mais de duas casas decimais. Caso ocorra o valor deverá ser arredondado para menor.</w:t>
      </w:r>
      <w:r/>
    </w:p>
    <w:p w14:paraId="07D62B5C" w14:textId="77777777">
      <w:pPr>
        <w:pBdr/>
        <w:spacing/>
        <w:ind/>
        <w:jc w:val="both"/>
        <w:rPr>
          <w:rFonts w:ascii="Arial" w:cs="Arial"/>
          <w:color w:val="000000"/>
        </w:rPr>
      </w:pPr>
      <w:r>
        <w:rPr>
          <w:rFonts w:ascii="Arial" w:cs="Arial"/>
          <w:color w:val="000000"/>
        </w:rPr>
      </w:r>
      <w:r>
        <w:rPr>
          <w:rFonts w:ascii="Arial" w:cs="Arial"/>
          <w:color w:val="000000"/>
        </w:rPr>
      </w:r>
    </w:p>
    <w:p w14:paraId="3E4A0B7D" w14:textId="77777777">
      <w:pPr>
        <w:pBdr/>
        <w:spacing/>
        <w:ind/>
        <w:jc w:val="both"/>
        <w:rPr/>
      </w:pPr>
      <w:r>
        <w:rPr>
          <w:rFonts w:ascii="Arial" w:hAnsi="Arial" w:cs="Arial"/>
          <w:b/>
          <w:color w:val="000000"/>
        </w:rPr>
        <w:t xml:space="preserve">11.4. </w:t>
      </w:r>
      <w:r>
        <w:rPr>
          <w:rFonts w:ascii="Arial" w:hAnsi="Arial" w:cs="Arial"/>
          <w:color w:val="000000"/>
        </w:rPr>
        <w:t xml:space="preserve">Embora o critério de julgamento da proposta seja pelo </w:t>
      </w:r>
      <w:r>
        <w:rPr>
          <w:rFonts w:ascii="Arial" w:hAnsi="Arial" w:cs="Arial"/>
          <w:color w:val="000000"/>
          <w:highlight w:val="yellow"/>
        </w:rPr>
        <w:t xml:space="preserve">Menor Preço / Menor Taxa para o grupo de itens</w:t>
      </w:r>
      <w:r>
        <w:rPr>
          <w:rFonts w:ascii="Arial" w:hAnsi="Arial" w:cs="Arial"/>
          <w:color w:val="000000"/>
        </w:rPr>
        <w:t xml:space="preserve">, deve haver a discriminação do valor de cada item que o compõe, de preferência em conformidade com o </w:t>
      </w:r>
      <w:r>
        <w:rPr>
          <w:rFonts w:ascii="Arial" w:hAnsi="Arial" w:cs="Arial"/>
          <w:color w:val="000000"/>
          <w:highlight w:val="yellow"/>
        </w:rPr>
        <w:t xml:space="preserve">percentual de referência,</w:t>
      </w:r>
      <w:r>
        <w:rPr>
          <w:rFonts w:ascii="Arial" w:hAnsi="Arial" w:cs="Arial"/>
          <w:color w:val="000000"/>
        </w:rPr>
        <w:t xml:space="preserve"> de forma que nenhum item fique com </w:t>
      </w:r>
      <w:r>
        <w:rPr>
          <w:rFonts w:ascii="Arial" w:hAnsi="Arial" w:cs="Arial"/>
          <w:color w:val="000000"/>
          <w:highlight w:val="yellow"/>
        </w:rPr>
        <w:t xml:space="preserve">percentual acima do valor estimado</w:t>
      </w:r>
      <w:r>
        <w:rPr>
          <w:rFonts w:ascii="Arial" w:hAnsi="Arial" w:cs="Arial"/>
          <w:color w:val="000000"/>
        </w:rPr>
        <w:t xml:space="preserve">. Tendo em vista que, o percentual de desconto oferecido para o lote deverá incidir sobre cada um de seus itens.</w:t>
      </w:r>
      <w:r/>
    </w:p>
    <w:p w14:paraId="39A7948D" w14:textId="77777777">
      <w:pPr>
        <w:pBdr/>
        <w:spacing/>
        <w:ind/>
        <w:jc w:val="both"/>
        <w:rPr>
          <w:rFonts w:ascii="Arial" w:cs="Arial"/>
          <w:b/>
          <w:color w:val="000000"/>
        </w:rPr>
      </w:pPr>
      <w:r>
        <w:rPr>
          <w:rFonts w:ascii="Arial" w:cs="Arial"/>
          <w:b/>
          <w:color w:val="000000"/>
        </w:rPr>
      </w:r>
      <w:r>
        <w:rPr>
          <w:rFonts w:ascii="Arial" w:cs="Arial"/>
          <w:b/>
          <w:color w:val="000000"/>
        </w:rPr>
      </w:r>
    </w:p>
    <w:p w14:paraId="6CFAAC67" w14:textId="77777777">
      <w:pPr>
        <w:pBdr/>
        <w:spacing/>
        <w:ind w:left="426"/>
        <w:jc w:val="both"/>
        <w:rPr>
          <w:rFonts w:ascii="Arial" w:cs="Arial"/>
          <w:color w:val="000000"/>
        </w:rPr>
      </w:pPr>
      <w:r>
        <w:rPr>
          <w:rFonts w:ascii="Arial" w:cs="Arial"/>
          <w:color w:val="000000"/>
        </w:rPr>
      </w:r>
      <w:r>
        <w:rPr>
          <w:rFonts w:ascii="Arial" w:cs="Arial"/>
          <w:color w:val="000000"/>
        </w:rPr>
      </w:r>
    </w:p>
    <w:p w14:paraId="67B4DAAF" w14:textId="77777777">
      <w:pPr>
        <w:pStyle w:val="873"/>
        <w:pBdr/>
        <w:spacing w:after="0" w:before="0"/>
        <w:ind/>
        <w:rPr>
          <w:lang w:val="pt-BR"/>
        </w:rPr>
      </w:pPr>
      <w:r/>
      <w:bookmarkStart w:id="41" w:name="_Toc190764802"/>
      <w:r/>
      <w:bookmarkStart w:id="42" w:name="_Toc22097"/>
      <w:r>
        <w:rPr>
          <w:sz w:val="20"/>
          <w:lang w:val="pt-BR"/>
        </w:rPr>
        <w:t xml:space="preserve">12. DA PARTICIPAÇÃO DE MICROEMPRESA E EMPRESA DE PEQUENO PORTE:</w:t>
      </w:r>
      <w:bookmarkEnd w:id="41"/>
      <w:r/>
      <w:bookmarkEnd w:id="42"/>
      <w:r/>
      <w:r>
        <w:rPr>
          <w:lang w:val="pt-BR"/>
        </w:rPr>
      </w:r>
    </w:p>
    <w:p w14:paraId="203661BD" w14:textId="77777777">
      <w:pPr>
        <w:pStyle w:val="1424"/>
        <w:pBdr/>
        <w:spacing/>
        <w:ind w:left="284"/>
        <w:jc w:val="both"/>
        <w:rPr>
          <w:b/>
          <w:sz w:val="20"/>
          <w:szCs w:val="20"/>
        </w:rPr>
      </w:pPr>
      <w:r>
        <w:rPr>
          <w:b/>
          <w:sz w:val="20"/>
          <w:szCs w:val="20"/>
        </w:rPr>
      </w:r>
      <w:r>
        <w:rPr>
          <w:b/>
          <w:sz w:val="20"/>
          <w:szCs w:val="20"/>
        </w:rPr>
      </w:r>
    </w:p>
    <w:p w14:paraId="6150544B" w14:textId="77777777">
      <w:pPr>
        <w:pBdr/>
        <w:spacing/>
        <w:ind/>
        <w:jc w:val="both"/>
        <w:rPr/>
      </w:pPr>
      <w:r/>
      <w:bookmarkStart w:id="43" w:name="_Toc190764801_Copia_1"/>
      <w:r/>
      <w:bookmarkEnd w:id="43"/>
      <w:r>
        <w:rPr>
          <w:rFonts w:ascii="Arial" w:hAnsi="Arial" w:cs="Arial"/>
          <w:b/>
        </w:rPr>
        <w:t xml:space="preserve">12.1.</w:t>
      </w:r>
      <w:r>
        <w:rPr>
          <w:rFonts w:ascii="Arial" w:hAnsi="Arial" w:cs="Arial"/>
        </w:rPr>
        <w:t xml:space="preserve"> A participação de Microempresas e Empresas de Pequeno Porte se dará conforme preceituado na Lei Complementar nº 123/2006, e demais alterações e Decreto Municipal nº 11.685/2023.</w:t>
      </w:r>
      <w:r/>
    </w:p>
    <w:p w14:paraId="61BEA9C5" w14:textId="77777777">
      <w:pPr>
        <w:pBdr/>
        <w:spacing/>
        <w:ind w:right="99"/>
        <w:jc w:val="both"/>
        <w:rPr>
          <w:rFonts w:ascii="Arial" w:cs="Arial"/>
          <w:b/>
        </w:rPr>
      </w:pPr>
      <w:r>
        <w:rPr>
          <w:rFonts w:ascii="Arial" w:cs="Arial"/>
          <w:b/>
        </w:rPr>
      </w:r>
      <w:r>
        <w:rPr>
          <w:rFonts w:ascii="Arial" w:cs="Arial"/>
          <w:b/>
        </w:rPr>
      </w:r>
    </w:p>
    <w:p w14:paraId="6A83D350" w14:textId="77777777">
      <w:pPr>
        <w:pBdr/>
        <w:spacing/>
        <w:ind/>
        <w:jc w:val="both"/>
        <w:rPr>
          <w:b/>
        </w:rPr>
      </w:pPr>
      <w:r>
        <w:rPr>
          <w:rFonts w:ascii="Arial" w:hAnsi="Arial" w:cs="Arial"/>
          <w:b/>
        </w:rPr>
        <w:t xml:space="preserve">12.2. </w:t>
      </w:r>
      <w:bookmarkStart w:id="44" w:name="_Ref497141703"/>
      <w:r>
        <w:rPr>
          <w:rFonts w:ascii="Arial" w:hAnsi="Arial" w:cs="Arial"/>
          <w:b/>
        </w:rPr>
        <w:t xml:space="preserve">Após o encerramento da fase de lances será assegurada pref</w:t>
      </w:r>
      <w:r>
        <w:rPr>
          <w:rFonts w:ascii="Arial" w:hAnsi="Arial" w:cs="Arial"/>
          <w:b/>
        </w:rPr>
        <w:t xml:space="preserve">erência na contratação de ME/EPP/COOP nos termos previstos na Lei Complementar nº 123/2006, exceto aos lotes cujo valor estimado anual seja superior a receita bruta máxima admitida para fins de enquadramento como empresa de pequeno porte (R$ 4.800.000,00).</w:t>
      </w:r>
      <w:bookmarkEnd w:id="44"/>
      <w:r/>
      <w:r>
        <w:rPr>
          <w:b/>
        </w:rPr>
      </w:r>
    </w:p>
    <w:p w14:paraId="5E4EA1B7" w14:textId="77777777">
      <w:pPr>
        <w:pBdr/>
        <w:spacing/>
        <w:ind w:right="99"/>
        <w:jc w:val="both"/>
        <w:rPr>
          <w:rFonts w:ascii="Arial" w:cs="Arial"/>
          <w:b/>
        </w:rPr>
      </w:pPr>
      <w:r>
        <w:rPr>
          <w:rFonts w:ascii="Arial" w:cs="Arial"/>
          <w:b/>
        </w:rPr>
      </w:r>
      <w:r>
        <w:rPr>
          <w:rFonts w:ascii="Arial" w:cs="Arial"/>
          <w:b/>
        </w:rPr>
      </w:r>
    </w:p>
    <w:p w14:paraId="099EDAC7" w14:textId="77777777">
      <w:pPr>
        <w:pBdr/>
        <w:spacing/>
        <w:ind w:right="99"/>
        <w:jc w:val="both"/>
        <w:rPr>
          <w:rFonts w:ascii="Arial" w:cs="Arial"/>
        </w:rPr>
      </w:pPr>
      <w:r>
        <w:rPr>
          <w:rFonts w:ascii="Arial" w:cs="Arial"/>
        </w:rPr>
      </w:r>
      <w:r>
        <w:rPr>
          <w:rFonts w:ascii="Arial" w:cs="Arial"/>
        </w:rPr>
      </w:r>
    </w:p>
    <w:p w14:paraId="2E3BA9FC" w14:textId="77777777">
      <w:pPr>
        <w:pBdr/>
        <w:spacing/>
        <w:ind w:right="99"/>
        <w:jc w:val="both"/>
        <w:rPr/>
      </w:pPr>
      <w:r>
        <w:rPr>
          <w:rFonts w:ascii="Arial" w:hAnsi="Arial" w:cs="Arial"/>
          <w:b/>
        </w:rPr>
        <w:t xml:space="preserve">12.3.</w:t>
      </w:r>
      <w:r>
        <w:rPr>
          <w:rFonts w:ascii="Arial" w:hAnsi="Arial" w:cs="Arial"/>
        </w:rPr>
        <w:t xml:space="preserve"> 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p>
    <w:p w14:paraId="41F4EA09" w14:textId="77777777">
      <w:pPr>
        <w:pBdr/>
        <w:spacing/>
        <w:ind w:right="99"/>
        <w:jc w:val="both"/>
        <w:rPr>
          <w:rFonts w:ascii="Arial" w:cs="Arial"/>
        </w:rPr>
      </w:pPr>
      <w:r>
        <w:rPr>
          <w:rFonts w:ascii="Arial" w:cs="Arial"/>
        </w:rPr>
      </w:r>
      <w:r>
        <w:rPr>
          <w:rFonts w:ascii="Arial" w:cs="Arial"/>
        </w:rPr>
      </w:r>
    </w:p>
    <w:p w14:paraId="6BC32BAA" w14:textId="77777777">
      <w:pPr>
        <w:pBdr/>
        <w:spacing/>
        <w:ind w:right="99"/>
        <w:jc w:val="both"/>
        <w:rPr/>
      </w:pPr>
      <w:r>
        <w:rPr>
          <w:rFonts w:ascii="Arial" w:hAnsi="Arial" w:cs="Arial"/>
          <w:b/>
        </w:rPr>
        <w:t xml:space="preserve">12.3.</w:t>
      </w:r>
      <w:r>
        <w:rPr>
          <w:rFonts w:ascii="Arial" w:hAnsi="Arial" w:cs="Arial"/>
        </w:rPr>
        <w:t xml:space="preserve"> A prorrogação do prazo prevista no ítem acima, poderá ser concedida, a critério da administração pública, quando requerida pelo licitante, mediante apresentação de justificativa.</w:t>
      </w:r>
      <w:r/>
    </w:p>
    <w:p w14:paraId="396F1524" w14:textId="77777777">
      <w:pPr>
        <w:pBdr/>
        <w:spacing/>
        <w:ind w:right="99"/>
        <w:jc w:val="both"/>
        <w:rPr>
          <w:rFonts w:ascii="Arial" w:cs="Arial"/>
        </w:rPr>
      </w:pPr>
      <w:r>
        <w:rPr>
          <w:rFonts w:ascii="Arial" w:cs="Arial"/>
        </w:rPr>
      </w:r>
      <w:r>
        <w:rPr>
          <w:rFonts w:ascii="Arial" w:cs="Arial"/>
        </w:rPr>
      </w:r>
    </w:p>
    <w:p w14:paraId="758ACDA2" w14:textId="77777777">
      <w:pPr>
        <w:pBdr/>
        <w:spacing/>
        <w:ind w:right="99"/>
        <w:jc w:val="both"/>
        <w:rPr/>
      </w:pPr>
      <w:r>
        <w:rPr>
          <w:rFonts w:ascii="Arial" w:hAnsi="Arial" w:cs="Arial"/>
          <w:b/>
        </w:rPr>
        <w:t xml:space="preserve">12.4.</w:t>
      </w:r>
      <w:r>
        <w:rPr>
          <w:rFonts w:ascii="Arial" w:hAnsi="Arial" w:cs="Arial"/>
        </w:rPr>
        <w:t xml:space="preserve"> A não regularização da documentação no prazo previsto no item 12.8, implicará na dec</w:t>
      </w:r>
      <w:r>
        <w:rPr>
          <w:rFonts w:ascii="Arial" w:hAnsi="Arial" w:cs="Arial"/>
        </w:rPr>
        <w:t xml:space="preserve">adência do direito à contratação, sem prejuízo das sanções previstas na legislação vigente, sendo facultado à Administração convocar para nova sessão pública os licitantes remanescentes, na ordem de classificação, para contratação, ou revogar a licitação. </w:t>
      </w:r>
      <w:r/>
    </w:p>
    <w:p w14:paraId="68FFAB99" w14:textId="77777777">
      <w:pPr>
        <w:pBdr/>
        <w:spacing/>
        <w:ind/>
        <w:jc w:val="both"/>
        <w:rPr>
          <w:rFonts w:ascii="Arial" w:cs="Arial"/>
          <w:b/>
        </w:rPr>
      </w:pPr>
      <w:r>
        <w:rPr>
          <w:rFonts w:ascii="Arial" w:cs="Arial"/>
          <w:b/>
        </w:rPr>
      </w:r>
      <w:r>
        <w:rPr>
          <w:rFonts w:ascii="Arial" w:cs="Arial"/>
          <w:b/>
        </w:rPr>
      </w:r>
    </w:p>
    <w:p w14:paraId="3366EE37" w14:textId="77777777">
      <w:pPr>
        <w:pBdr/>
        <w:spacing/>
        <w:ind/>
        <w:jc w:val="both"/>
        <w:rPr/>
      </w:pPr>
      <w:r>
        <w:rPr>
          <w:rFonts w:ascii="Arial" w:hAnsi="Arial" w:cs="Arial"/>
          <w:b/>
        </w:rPr>
        <w:t xml:space="preserve">12.5.</w:t>
      </w:r>
      <w:r>
        <w:rPr>
          <w:rFonts w:ascii="Arial" w:hAnsi="Arial" w:cs="Arial"/>
        </w:rPr>
        <w:t xml:space="preserve"> A obtenção dos benefícios a que se refere este tópico fica limitada às microempresas e às empresas </w:t>
      </w:r>
      <w:r>
        <w:rPr>
          <w:rFonts w:ascii="Arial" w:hAnsi="Arial" w:cs="Arial"/>
        </w:rPr>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w:t>
      </w:r>
      <w:r/>
    </w:p>
    <w:p w14:paraId="0ECD8176" w14:textId="77777777">
      <w:pPr>
        <w:pBdr/>
        <w:spacing/>
        <w:ind/>
        <w:jc w:val="both"/>
        <w:rPr>
          <w:rFonts w:ascii="Arial" w:cs="Arial"/>
          <w:b/>
        </w:rPr>
      </w:pPr>
      <w:r>
        <w:rPr>
          <w:rFonts w:ascii="Arial" w:cs="Arial"/>
          <w:b/>
        </w:rPr>
      </w:r>
      <w:r>
        <w:rPr>
          <w:rFonts w:ascii="Arial" w:cs="Arial"/>
          <w:b/>
        </w:rPr>
      </w:r>
    </w:p>
    <w:p w14:paraId="7CEC384C" w14:textId="77777777">
      <w:pPr>
        <w:pBdr/>
        <w:spacing/>
        <w:ind/>
        <w:jc w:val="both"/>
        <w:rPr/>
      </w:pPr>
      <w:r>
        <w:rPr>
          <w:rFonts w:ascii="Arial" w:hAnsi="Arial" w:cs="Arial"/>
          <w:b/>
        </w:rPr>
        <w:t xml:space="preserve">12.6. </w:t>
      </w:r>
      <w:r>
        <w:rPr>
          <w:rFonts w:ascii="Arial" w:hAnsi="Arial" w:cs="Arial"/>
        </w:rPr>
        <w:t xml:space="preserve">Não se a</w:t>
      </w:r>
      <w:r>
        <w:rPr>
          <w:rFonts w:ascii="Arial" w:hAnsi="Arial" w:cs="Arial"/>
        </w:rPr>
        <w:t xml:space="preserve">plica o disposto nos artigos 47 e 48 da Lei Complementar 123/2006, uma vez que, no caso específico, não se verificou vantagem para a Administração Pública, tendo em vista a natureza do objeto a ser contratado, conforme inciso III do artigo 49 da mesma Lei.</w:t>
      </w:r>
      <w:r/>
    </w:p>
    <w:p w14:paraId="0D38B0CD" w14:textId="77777777">
      <w:pPr>
        <w:pBdr/>
        <w:spacing/>
        <w:ind w:left="284"/>
        <w:jc w:val="both"/>
        <w:rPr>
          <w:rFonts w:ascii="Arial" w:cs="Arial"/>
          <w:b/>
          <w:color w:val="000000"/>
        </w:rPr>
      </w:pPr>
      <w:r>
        <w:rPr>
          <w:rFonts w:ascii="Arial" w:cs="Arial"/>
          <w:b/>
          <w:color w:val="000000"/>
        </w:rPr>
      </w:r>
      <w:r>
        <w:rPr>
          <w:rFonts w:ascii="Arial" w:cs="Arial"/>
          <w:b/>
          <w:color w:val="000000"/>
        </w:rPr>
      </w:r>
    </w:p>
    <w:p w14:paraId="52E35F3F" w14:textId="77777777">
      <w:pPr>
        <w:pStyle w:val="873"/>
        <w:pBdr/>
        <w:spacing w:after="0" w:before="0"/>
        <w:ind/>
        <w:rPr>
          <w:lang w:val="pt-BR"/>
        </w:rPr>
      </w:pPr>
      <w:r/>
      <w:bookmarkStart w:id="45" w:name="_Toc190247158"/>
      <w:r/>
      <w:bookmarkStart w:id="46" w:name="_Toc2179"/>
      <w:r>
        <w:rPr>
          <w:sz w:val="20"/>
          <w:lang w:val="pt-BR"/>
        </w:rPr>
        <w:t xml:space="preserve">13. DOS DOCUMENTOS EXIGIDOS PARA HABILITAÇÃO:</w:t>
      </w:r>
      <w:bookmarkEnd w:id="45"/>
      <w:r/>
      <w:bookmarkEnd w:id="46"/>
      <w:r>
        <w:rPr>
          <w:sz w:val="20"/>
          <w:lang w:val="pt-BR"/>
        </w:rPr>
        <w:t xml:space="preserve">  </w:t>
      </w:r>
      <w:r>
        <w:rPr>
          <w:lang w:val="pt-BR"/>
        </w:rPr>
      </w:r>
    </w:p>
    <w:p w14:paraId="77C9C541" w14:textId="77777777">
      <w:pPr>
        <w:pBdr/>
        <w:spacing/>
        <w:ind/>
        <w:jc w:val="both"/>
        <w:rPr>
          <w:rFonts w:ascii="Arial" w:cs="Arial"/>
          <w:b/>
        </w:rPr>
      </w:pPr>
      <w:r>
        <w:rPr>
          <w:rFonts w:ascii="Arial" w:cs="Arial"/>
          <w:b/>
        </w:rPr>
      </w:r>
      <w:r>
        <w:rPr>
          <w:rFonts w:ascii="Arial" w:cs="Arial"/>
          <w:b/>
        </w:rPr>
      </w:r>
    </w:p>
    <w:p w14:paraId="12A158DC" w14:textId="77777777">
      <w:pPr>
        <w:pBdr/>
        <w:spacing/>
        <w:ind/>
        <w:jc w:val="both"/>
        <w:rPr/>
      </w:pPr>
      <w:r>
        <w:rPr>
          <w:rFonts w:ascii="Arial" w:hAnsi="Arial" w:cs="Arial"/>
          <w:b/>
        </w:rPr>
        <w:t xml:space="preserve">13.1. </w:t>
      </w:r>
      <w:r>
        <w:rPr>
          <w:rFonts w:ascii="Arial" w:hAnsi="Arial" w:cs="Arial"/>
          <w:lang w:eastAsia="en-US"/>
        </w:rPr>
        <w:t xml:space="preserve">Os documentos exigidos do (s) vencedor (es) para habilitação, deverão ser anexados exclusivamente na plataforma da BLL, em até 2 (duas) horas após o encerramento da sessão (art. 62 a 70 da Lei 14.133/21):</w:t>
      </w:r>
      <w:r/>
    </w:p>
    <w:p w14:paraId="52DAA858" w14:textId="77777777">
      <w:pPr>
        <w:pBdr/>
        <w:spacing/>
        <w:ind/>
        <w:jc w:val="both"/>
        <w:rPr>
          <w:rFonts w:ascii="Arial" w:cs="Arial"/>
        </w:rPr>
      </w:pPr>
      <w:r>
        <w:rPr>
          <w:rFonts w:ascii="Arial" w:cs="Arial"/>
        </w:rPr>
      </w:r>
      <w:r>
        <w:rPr>
          <w:rFonts w:ascii="Arial" w:cs="Arial"/>
        </w:rPr>
      </w:r>
    </w:p>
    <w:p w14:paraId="29790931" w14:textId="77777777">
      <w:pPr>
        <w:pStyle w:val="1424"/>
        <w:pBdr/>
        <w:spacing/>
        <w:ind/>
        <w:jc w:val="both"/>
        <w:rPr/>
      </w:pPr>
      <w:r>
        <w:rPr>
          <w:rFonts w:eastAsia="Times New Roman"/>
          <w:b/>
          <w:sz w:val="20"/>
          <w:szCs w:val="20"/>
        </w:rPr>
        <w:t xml:space="preserve">13.2 A DOCUMENTAÇÃO RELATIVA À HABILITAÇÃO JURÍDICA CONSISTE EM: </w:t>
      </w:r>
      <w:r/>
    </w:p>
    <w:p w14:paraId="236272BF" w14:textId="77777777">
      <w:pPr>
        <w:pBdr/>
        <w:spacing/>
        <w:ind w:left="284"/>
        <w:jc w:val="both"/>
        <w:rPr>
          <w:rFonts w:ascii="Arial" w:cs="Arial"/>
        </w:rPr>
      </w:pPr>
      <w:r>
        <w:rPr>
          <w:rFonts w:ascii="Arial" w:cs="Arial"/>
        </w:rPr>
      </w:r>
      <w:r>
        <w:rPr>
          <w:rFonts w:ascii="Arial" w:cs="Arial"/>
        </w:rPr>
      </w:r>
    </w:p>
    <w:p w14:paraId="12D8C9FA" w14:textId="77777777">
      <w:pPr>
        <w:pBdr/>
        <w:spacing/>
        <w:ind w:left="426"/>
        <w:jc w:val="both"/>
        <w:rPr/>
      </w:pPr>
      <w:r>
        <w:rPr>
          <w:rFonts w:ascii="Arial" w:hAnsi="Arial" w:cs="Arial"/>
          <w:b/>
        </w:rPr>
        <w:t xml:space="preserve">13.2.1. </w:t>
      </w:r>
      <w:r>
        <w:rPr>
          <w:rFonts w:ascii="Arial" w:hAnsi="Arial" w:cs="Arial"/>
        </w:rPr>
        <w:t xml:space="preserve">No caso de empresário individual, inscrição no Registro Público de Empresas Mercantis, a cargo da Junta Comercial da respectiva sede; Microempreendedor Individual - MEI: Certificado da Condição de Microempreendedor Individual - CCMEI</w:t>
      </w:r>
      <w:r/>
    </w:p>
    <w:p w14:paraId="21C94554" w14:textId="77777777">
      <w:pPr>
        <w:pBdr/>
        <w:spacing/>
        <w:ind w:left="426"/>
        <w:jc w:val="both"/>
        <w:rPr>
          <w:rFonts w:ascii="Arial" w:cs="Arial"/>
          <w:b/>
        </w:rPr>
      </w:pPr>
      <w:r>
        <w:rPr>
          <w:rFonts w:ascii="Arial" w:cs="Arial"/>
          <w:b/>
        </w:rPr>
      </w:r>
      <w:r>
        <w:rPr>
          <w:rFonts w:ascii="Arial" w:cs="Arial"/>
          <w:b/>
        </w:rPr>
      </w:r>
    </w:p>
    <w:p w14:paraId="41756242" w14:textId="77777777">
      <w:pPr>
        <w:pBdr/>
        <w:spacing/>
        <w:ind w:left="426"/>
        <w:jc w:val="both"/>
        <w:rPr/>
      </w:pPr>
      <w:r>
        <w:rPr>
          <w:rFonts w:ascii="Arial" w:hAnsi="Arial" w:cs="Arial"/>
          <w:b/>
        </w:rPr>
        <w:t xml:space="preserve">13.2.2.</w:t>
      </w:r>
      <w:r>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r/>
    </w:p>
    <w:p w14:paraId="4F476766" w14:textId="77777777">
      <w:pPr>
        <w:pBdr/>
        <w:spacing/>
        <w:ind w:left="426"/>
        <w:jc w:val="both"/>
        <w:rPr>
          <w:rFonts w:ascii="Arial" w:cs="Arial"/>
        </w:rPr>
      </w:pPr>
      <w:r>
        <w:rPr>
          <w:rFonts w:ascii="Arial" w:cs="Arial"/>
        </w:rPr>
      </w:r>
      <w:r>
        <w:rPr>
          <w:rFonts w:ascii="Arial" w:cs="Arial"/>
        </w:rPr>
      </w:r>
    </w:p>
    <w:p w14:paraId="0156A3B4" w14:textId="77777777">
      <w:pPr>
        <w:pBdr/>
        <w:spacing/>
        <w:ind w:left="426"/>
        <w:jc w:val="both"/>
        <w:rPr/>
      </w:pPr>
      <w:r>
        <w:rPr>
          <w:rFonts w:ascii="Arial" w:hAnsi="Arial" w:cs="Arial"/>
          <w:b/>
        </w:rPr>
        <w:t xml:space="preserve">13.2.3.</w:t>
      </w:r>
      <w:r>
        <w:rPr>
          <w:rFonts w:ascii="Arial" w:hAnsi="Arial" w:cs="Arial"/>
        </w:rPr>
        <w:t xml:space="preserve">  Inscrição do ato constitutivo, no caso de sociedades civis, acompanhada de prova de diretoria em exercício; </w:t>
      </w:r>
      <w:r/>
    </w:p>
    <w:p w14:paraId="73D2D63A" w14:textId="77777777">
      <w:pPr>
        <w:pBdr/>
        <w:spacing/>
        <w:ind w:left="426"/>
        <w:jc w:val="both"/>
        <w:rPr>
          <w:rFonts w:ascii="Arial" w:cs="Arial"/>
        </w:rPr>
      </w:pPr>
      <w:r>
        <w:rPr>
          <w:rFonts w:ascii="Arial" w:cs="Arial"/>
        </w:rPr>
      </w:r>
      <w:r>
        <w:rPr>
          <w:rFonts w:ascii="Arial" w:cs="Arial"/>
        </w:rPr>
      </w:r>
    </w:p>
    <w:p w14:paraId="7A7164DB" w14:textId="77777777">
      <w:pPr>
        <w:pBdr/>
        <w:spacing/>
        <w:ind w:left="426"/>
        <w:jc w:val="both"/>
        <w:rPr/>
      </w:pPr>
      <w:r>
        <w:rPr>
          <w:rFonts w:ascii="Arial" w:hAnsi="Arial" w:cs="Arial"/>
          <w:b/>
        </w:rPr>
        <w:t xml:space="preserve">13.2.4.</w:t>
      </w:r>
      <w:r>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r/>
    </w:p>
    <w:p w14:paraId="6B371F9D" w14:textId="77777777">
      <w:pPr>
        <w:pBdr/>
        <w:spacing/>
        <w:ind w:left="426"/>
        <w:jc w:val="both"/>
        <w:rPr>
          <w:rFonts w:ascii="Arial" w:cs="Arial"/>
        </w:rPr>
      </w:pPr>
      <w:r>
        <w:rPr>
          <w:rFonts w:ascii="Arial" w:cs="Arial"/>
        </w:rPr>
      </w:r>
      <w:r>
        <w:rPr>
          <w:rFonts w:ascii="Arial" w:cs="Arial"/>
        </w:rPr>
      </w:r>
    </w:p>
    <w:p w14:paraId="3CC4C631" w14:textId="77777777">
      <w:pPr>
        <w:pBdr/>
        <w:spacing/>
        <w:ind w:left="426"/>
        <w:jc w:val="both"/>
        <w:rPr/>
      </w:pPr>
      <w:r>
        <w:rPr>
          <w:rFonts w:ascii="Arial" w:hAnsi="Arial" w:cs="Arial"/>
          <w:b/>
        </w:rPr>
        <w:t xml:space="preserve">13.2.5.</w:t>
      </w:r>
      <w:r>
        <w:rPr>
          <w:rFonts w:ascii="Arial" w:hAnsi="Arial" w:cs="Arial"/>
        </w:rPr>
        <w:t xml:space="preserve"> Cópia do documento de Identidade e CPF dos Representantes</w:t>
      </w:r>
      <w:r>
        <w:rPr>
          <w:rFonts w:ascii="Arial" w:hAnsi="Arial" w:cs="Arial"/>
        </w:rPr>
        <w:t xml:space="preserve"> Legais da empresa; sociedade cooperativa: ata de fundação e estatuto social em vigor, com a ata da assembleia que o aprovou, devidamente arquivado na Junta Comercial da respectiva sede, bem como o registro de que trata o art. 107 da Lei nº 5.764, de 1971.</w:t>
      </w:r>
      <w:r/>
    </w:p>
    <w:p w14:paraId="63F41EE3" w14:textId="77777777">
      <w:pPr>
        <w:pBdr/>
        <w:tabs>
          <w:tab w:val="left" w:leader="none" w:pos="7605"/>
        </w:tabs>
        <w:spacing/>
        <w:ind w:left="284"/>
        <w:jc w:val="both"/>
        <w:rPr/>
      </w:pPr>
      <w:r>
        <w:rPr>
          <w:rFonts w:ascii="Arial" w:cs="Arial"/>
        </w:rPr>
        <w:tab/>
      </w:r>
      <w:r/>
    </w:p>
    <w:p w14:paraId="2751E98C" w14:textId="77777777">
      <w:pPr>
        <w:pStyle w:val="1424"/>
        <w:pBdr/>
        <w:spacing/>
        <w:ind/>
        <w:jc w:val="both"/>
        <w:rPr/>
      </w:pPr>
      <w:r>
        <w:rPr>
          <w:b/>
          <w:sz w:val="20"/>
          <w:szCs w:val="20"/>
        </w:rPr>
        <w:t xml:space="preserve">13.3. DA COMPROVAÇÃO DE LOCALIZAÇÃO E FUNCIONAMENTO: </w:t>
      </w:r>
      <w:r/>
    </w:p>
    <w:p w14:paraId="0C7955BC" w14:textId="77777777">
      <w:pPr>
        <w:pBdr/>
        <w:spacing/>
        <w:ind w:left="284"/>
        <w:jc w:val="both"/>
        <w:rPr>
          <w:rFonts w:ascii="Arial" w:cs="Arial"/>
          <w:b/>
        </w:rPr>
      </w:pPr>
      <w:r>
        <w:rPr>
          <w:rFonts w:ascii="Arial" w:cs="Arial"/>
          <w:b/>
        </w:rPr>
      </w:r>
      <w:r>
        <w:rPr>
          <w:rFonts w:ascii="Arial" w:cs="Arial"/>
          <w:b/>
        </w:rPr>
      </w:r>
    </w:p>
    <w:p w14:paraId="25DAD7C7" w14:textId="77777777">
      <w:pPr>
        <w:pStyle w:val="1454"/>
        <w:pBdr/>
        <w:spacing/>
        <w:ind w:firstLine="0" w:left="426"/>
        <w:rPr>
          <w:lang w:val="pt-BR"/>
        </w:rPr>
      </w:pPr>
      <w:r>
        <w:rPr>
          <w:rFonts w:cs="Arial"/>
          <w:b/>
          <w:sz w:val="20"/>
          <w:lang w:val="pt-BR"/>
        </w:rPr>
        <w:t xml:space="preserve">13.3.1</w:t>
      </w:r>
      <w:r>
        <w:rPr>
          <w:rFonts w:cs="Arial"/>
          <w:sz w:val="20"/>
          <w:lang w:val="pt-BR"/>
        </w:rPr>
        <w:t xml:space="preserve">. Alvará de Localização e Funcionamento.</w:t>
      </w:r>
      <w:r>
        <w:rPr>
          <w:lang w:val="pt-BR"/>
        </w:rPr>
      </w:r>
    </w:p>
    <w:p w14:paraId="5794B5E6" w14:textId="77777777">
      <w:pPr>
        <w:numPr>
          <w:ilvl w:val="0"/>
          <w:numId w:val="5"/>
        </w:numPr>
        <w:pBdr/>
        <w:spacing w:afterAutospacing="1" w:beforeAutospacing="1"/>
        <w:ind/>
        <w:jc w:val="both"/>
        <w:rPr/>
      </w:pPr>
      <w:r>
        <w:rPr>
          <w:rFonts w:ascii="Arial" w:hAnsi="Arial" w:cs="Arial"/>
        </w:rPr>
        <w:t xml:space="preserve">Considerando que a presente licitação e objeto licitado, a exigência do </w:t>
      </w:r>
      <w:r>
        <w:rPr>
          <w:rFonts w:ascii="Arial" w:hAnsi="Arial" w:cs="Arial"/>
          <w:b/>
        </w:rPr>
        <w:t xml:space="preserve">alvará de localização e funcionamento</w:t>
      </w:r>
      <w:r>
        <w:rPr>
          <w:rFonts w:ascii="Arial" w:hAnsi="Arial" w:cs="Arial"/>
        </w:rPr>
        <w:t xml:space="preserve"> se justifica pela necessidade de comprovação de que a empresa possui </w:t>
      </w:r>
      <w:r>
        <w:rPr>
          <w:rFonts w:ascii="Arial" w:hAnsi="Arial" w:cs="Arial"/>
          <w:b/>
        </w:rPr>
        <w:t xml:space="preserve">instalação física regularizada</w:t>
      </w:r>
      <w:r>
        <w:rPr>
          <w:rFonts w:ascii="Arial" w:hAnsi="Arial" w:cs="Arial"/>
        </w:rPr>
        <w:t xml:space="preserve"> e </w:t>
      </w:r>
      <w:r>
        <w:rPr>
          <w:rFonts w:ascii="Arial" w:hAnsi="Arial" w:cs="Arial"/>
          <w:b/>
        </w:rPr>
        <w:t xml:space="preserve">aptidão legal para exercer atividades conforme o objeto a ser adquirido</w:t>
      </w:r>
      <w:r>
        <w:rPr>
          <w:rFonts w:ascii="Arial" w:hAnsi="Arial" w:cs="Arial"/>
        </w:rPr>
        <w:t xml:space="preserve">, garantindo maior segurança quanto à capacidade operacional do fornecedor.</w:t>
      </w:r>
      <w:r/>
    </w:p>
    <w:p w14:paraId="7F1312C4" w14:textId="77777777">
      <w:pPr>
        <w:pBdr/>
        <w:spacing w:afterAutospacing="1" w:beforeAutospacing="1"/>
        <w:ind/>
        <w:jc w:val="both"/>
        <w:rPr/>
      </w:pPr>
      <w:r>
        <w:rPr>
          <w:rFonts w:ascii="Arial" w:hAnsi="Arial" w:cs="Arial"/>
        </w:rPr>
        <w:t xml:space="preserve">13.3.2 </w:t>
      </w:r>
      <w:r>
        <w:rPr>
          <w:rFonts w:ascii="Arial" w:hAnsi="Arial" w:cs="Arial"/>
          <w:b/>
        </w:rPr>
        <w:t xml:space="preserve">Qualificação Técnica </w:t>
      </w:r>
      <w:r/>
    </w:p>
    <w:p w14:paraId="19C3DDB8" w14:textId="77777777">
      <w:pPr>
        <w:pBdr/>
        <w:spacing w:afterAutospacing="1" w:beforeAutospacing="1"/>
        <w:ind w:left="426"/>
        <w:jc w:val="both"/>
        <w:rPr/>
      </w:pPr>
      <w:r>
        <w:rPr>
          <w:rFonts w:ascii="Arial" w:hAnsi="Arial" w:cs="Arial"/>
          <w:b/>
        </w:rPr>
        <w:t xml:space="preserve">13.3.3 Justifica-se a exigência da qualificação técnica, </w:t>
      </w:r>
      <w:r>
        <w:rPr>
          <w:rFonts w:ascii="Arial" w:hAnsi="Arial" w:cs="Arial"/>
        </w:rPr>
        <w:t xml:space="preserve">para afastar das contratações públicas, licitantes que por pouca ou nenhuma experiência sejam incapazes de executar com perfeição o objeto da licitação. Ainda pode-se inferir que é primordial a experiência das licitantes para a contratação em t</w:t>
      </w:r>
      <w:r>
        <w:rPr>
          <w:rFonts w:ascii="Arial" w:hAnsi="Arial" w:cs="Arial"/>
        </w:rPr>
        <w:t xml:space="preserve">ela. Pensar de maneira diferente, permitindo que empresas e profissionais sem nenhuma experiência anterior participem desse certame, significaria prestigiar a imprudência e negligenciar o interesse público. Logo, deverá ser exigida a qualificação técnica. </w:t>
      </w:r>
      <w:r/>
    </w:p>
    <w:p w14:paraId="0A1DA0B5" w14:textId="77777777">
      <w:pPr>
        <w:pBdr/>
        <w:spacing w:after="360"/>
        <w:ind w:left="426"/>
        <w:jc w:val="both"/>
        <w:rPr/>
      </w:pPr>
      <w:r>
        <w:rPr>
          <w:rFonts w:ascii="Arial" w:hAnsi="Arial" w:cs="Arial"/>
          <w:b/>
        </w:rPr>
        <w:t xml:space="preserve">13.3.4 AS EXIGÊNCIAS RELATIVAS À QUALIFICAÇÃO TÉCNICA ESTARÃO DISPOSTAS EXCLUSIVAMENTE NO TERMO DE REFERÊNCIA,</w:t>
      </w:r>
      <w:r>
        <w:rPr>
          <w:rFonts w:ascii="Arial" w:hAnsi="Arial" w:cs="Arial"/>
        </w:rPr>
        <w:t xml:space="preserve"> não sendo tr</w:t>
      </w:r>
      <w:r>
        <w:rPr>
          <w:rFonts w:ascii="Arial" w:hAnsi="Arial" w:cs="Arial"/>
        </w:rPr>
        <w:t xml:space="preserve">anscritas no edital. Tal procedimento tem por objetivo evitar redundâncias e assegurar a unicidade das informações, centralizando todos os requisitos técnicos no instrumento convocatório acessório, em conformidade com as diretrizes da legislação aplicável.</w:t>
      </w:r>
      <w:r/>
    </w:p>
    <w:p w14:paraId="2DAAF075" w14:textId="77777777">
      <w:pPr>
        <w:pStyle w:val="1424"/>
        <w:pBdr/>
        <w:spacing/>
        <w:ind/>
        <w:jc w:val="both"/>
        <w:rPr/>
      </w:pPr>
      <w:r>
        <w:rPr>
          <w:b/>
          <w:sz w:val="20"/>
          <w:szCs w:val="20"/>
        </w:rPr>
        <w:t xml:space="preserve">13.4. A DOCUMENTAÇÃO RELATIVA À QUALIFICAÇÃO ECONÔMICA-FINANCEIRA CONSISTE EM: </w:t>
      </w:r>
      <w:r/>
    </w:p>
    <w:p w14:paraId="11D794E5" w14:textId="77777777">
      <w:pPr>
        <w:pBdr/>
        <w:spacing/>
        <w:ind w:left="284"/>
        <w:jc w:val="both"/>
        <w:rPr>
          <w:rFonts w:ascii="Arial" w:cs="Arial"/>
        </w:rPr>
      </w:pPr>
      <w:r>
        <w:rPr>
          <w:rFonts w:ascii="Arial" w:cs="Arial"/>
        </w:rPr>
      </w:r>
      <w:r>
        <w:rPr>
          <w:rFonts w:ascii="Arial" w:cs="Arial"/>
        </w:rPr>
      </w:r>
    </w:p>
    <w:p w14:paraId="1677C73F" w14:textId="77777777">
      <w:pPr>
        <w:pBdr/>
        <w:spacing/>
        <w:ind w:left="426"/>
        <w:jc w:val="both"/>
        <w:rPr>
          <w:rFonts w:ascii="Arial" w:cs="Arial"/>
        </w:rPr>
      </w:pPr>
      <w:r>
        <w:rPr>
          <w:rFonts w:ascii="Arial" w:cs="Arial"/>
          <w:b/>
        </w:rPr>
        <w:t xml:space="preserve">13.4.1. </w:t>
      </w:r>
      <w:r>
        <w:rPr>
          <w:rFonts w:ascii="Arial" w:cs="Arial"/>
        </w:rPr>
        <w:t xml:space="preserve">Certid</w:t>
      </w:r>
      <w:r>
        <w:rPr>
          <w:rFonts w:cs="Arial"/>
        </w:rPr>
        <w:t xml:space="preserve">ã</w:t>
      </w:r>
      <w:r>
        <w:rPr>
          <w:rFonts w:ascii="Arial" w:cs="Arial"/>
        </w:rPr>
        <w:t xml:space="preserve">o negativa de feitos sobre fal</w:t>
      </w:r>
      <w:r>
        <w:rPr>
          <w:rFonts w:cs="Arial"/>
        </w:rPr>
        <w:t xml:space="preserve">ê</w:t>
      </w:r>
      <w:r>
        <w:rPr>
          <w:rFonts w:ascii="Arial" w:cs="Arial"/>
        </w:rPr>
        <w:t xml:space="preserve">ncia expedida pelo distribuidor da sede do licitante, em data n</w:t>
      </w:r>
      <w:r>
        <w:rPr>
          <w:rFonts w:cs="Arial"/>
        </w:rPr>
        <w:t xml:space="preserve">ã</w:t>
      </w:r>
      <w:r>
        <w:rPr>
          <w:rFonts w:ascii="Arial" w:cs="Arial"/>
        </w:rPr>
        <w:t xml:space="preserve">o superior a 60 (sessenta) dias da data designada para apresenta</w:t>
      </w:r>
      <w:r>
        <w:rPr>
          <w:rFonts w:cs="Arial"/>
        </w:rPr>
        <w:t xml:space="preserve">çã</w:t>
      </w:r>
      <w:r>
        <w:rPr>
          <w:rFonts w:ascii="Arial" w:cs="Arial"/>
        </w:rPr>
        <w:t xml:space="preserve">o do documento, exceto se outro prazo constar do referido documento;</w:t>
      </w:r>
      <w:r>
        <w:rPr>
          <w:rFonts w:ascii="Arial" w:cs="Arial"/>
        </w:rPr>
      </w:r>
    </w:p>
    <w:p w14:paraId="0C237C41" w14:textId="77777777">
      <w:pPr>
        <w:pBdr/>
        <w:spacing/>
        <w:ind w:left="426"/>
        <w:jc w:val="both"/>
        <w:rPr>
          <w:rFonts w:ascii="Arial" w:cs="Arial"/>
        </w:rPr>
      </w:pPr>
      <w:r>
        <w:rPr>
          <w:rFonts w:ascii="Arial" w:cs="Arial"/>
        </w:rPr>
      </w:r>
      <w:r>
        <w:rPr>
          <w:rFonts w:ascii="Arial" w:cs="Arial"/>
        </w:rPr>
      </w:r>
    </w:p>
    <w:p w14:paraId="48627E36" w14:textId="77777777">
      <w:pPr>
        <w:pBdr/>
        <w:spacing w:line="276" w:lineRule="auto"/>
        <w:ind w:left="426"/>
        <w:jc w:val="both"/>
        <w:rPr>
          <w:rFonts w:ascii="Arial" w:cs="Arial"/>
          <w:color w:val="000000"/>
        </w:rPr>
      </w:pPr>
      <w:r>
        <w:rPr>
          <w:rFonts w:ascii="Arial" w:cs="Arial"/>
          <w:b/>
        </w:rPr>
        <w:t xml:space="preserve">13.4.1.1. </w:t>
      </w:r>
      <w:r>
        <w:rPr>
          <w:rFonts w:ascii="Arial" w:cs="Arial"/>
          <w:color w:val="000000"/>
          <w:lang w:val="pt-PT"/>
        </w:rPr>
        <w:t xml:space="preserve">S</w:t>
      </w:r>
      <w:r>
        <w:rPr>
          <w:rFonts w:cs="Arial"/>
          <w:color w:val="000000"/>
          <w:lang w:val="pt-PT"/>
        </w:rPr>
        <w:t xml:space="preserve">ó</w:t>
      </w:r>
      <w:r>
        <w:rPr>
          <w:rFonts w:ascii="Arial" w:cs="Arial"/>
          <w:color w:val="000000"/>
          <w:lang w:val="pt-PT"/>
        </w:rPr>
        <w:t xml:space="preserve"> ser</w:t>
      </w:r>
      <w:r>
        <w:rPr>
          <w:rFonts w:cs="Arial"/>
          <w:color w:val="000000"/>
          <w:lang w:val="pt-PT"/>
        </w:rPr>
        <w:t xml:space="preserve">á</w:t>
      </w:r>
      <w:r>
        <w:rPr>
          <w:rFonts w:ascii="Arial" w:cs="Arial"/>
          <w:color w:val="000000"/>
          <w:lang w:val="pt-PT"/>
        </w:rPr>
        <w:t xml:space="preserve"> permitida a participa</w:t>
      </w:r>
      <w:r>
        <w:rPr>
          <w:rFonts w:cs="Arial"/>
          <w:color w:val="000000"/>
          <w:lang w:val="pt-PT"/>
        </w:rPr>
        <w:t xml:space="preserve">çã</w:t>
      </w:r>
      <w:r>
        <w:rPr>
          <w:rFonts w:ascii="Arial" w:cs="Arial"/>
          <w:color w:val="000000"/>
          <w:lang w:val="pt-PT"/>
        </w:rPr>
        <w:t xml:space="preserve">o de empresas em recupera</w:t>
      </w:r>
      <w:r>
        <w:rPr>
          <w:rFonts w:cs="Arial"/>
          <w:color w:val="000000"/>
          <w:lang w:val="pt-PT"/>
        </w:rPr>
        <w:t xml:space="preserve">çã</w:t>
      </w:r>
      <w:r>
        <w:rPr>
          <w:rFonts w:ascii="Arial" w:cs="Arial"/>
          <w:color w:val="000000"/>
          <w:lang w:val="pt-PT"/>
        </w:rPr>
        <w:t xml:space="preserve">o judicial e extrajudicial se comprovada, respectivamente, a aprova</w:t>
      </w:r>
      <w:r>
        <w:rPr>
          <w:rFonts w:cs="Arial"/>
          <w:color w:val="000000"/>
          <w:lang w:val="pt-PT"/>
        </w:rPr>
        <w:t xml:space="preserve">çã</w:t>
      </w:r>
      <w:r>
        <w:rPr>
          <w:rFonts w:ascii="Arial" w:cs="Arial"/>
          <w:color w:val="000000"/>
          <w:lang w:val="pt-PT"/>
        </w:rPr>
        <w:t xml:space="preserve">o ou a homologa</w:t>
      </w:r>
      <w:r>
        <w:rPr>
          <w:rFonts w:cs="Arial"/>
          <w:color w:val="000000"/>
          <w:lang w:val="pt-PT"/>
        </w:rPr>
        <w:t xml:space="preserve">çã</w:t>
      </w:r>
      <w:r>
        <w:rPr>
          <w:rFonts w:ascii="Arial" w:cs="Arial"/>
          <w:color w:val="000000"/>
          <w:lang w:val="pt-PT"/>
        </w:rPr>
        <w:t xml:space="preserve">o do plano de recupera</w:t>
      </w:r>
      <w:r>
        <w:rPr>
          <w:rFonts w:cs="Arial"/>
          <w:color w:val="000000"/>
          <w:lang w:val="pt-PT"/>
        </w:rPr>
        <w:t xml:space="preserve">çã</w:t>
      </w:r>
      <w:r>
        <w:rPr>
          <w:rFonts w:ascii="Arial" w:cs="Arial"/>
          <w:color w:val="000000"/>
          <w:lang w:val="pt-PT"/>
        </w:rPr>
        <w:t xml:space="preserve">o pelo ju</w:t>
      </w:r>
      <w:r>
        <w:rPr>
          <w:rFonts w:cs="Arial"/>
          <w:color w:val="000000"/>
          <w:lang w:val="pt-PT"/>
        </w:rPr>
        <w:t xml:space="preserve">í</w:t>
      </w:r>
      <w:r>
        <w:rPr>
          <w:rFonts w:ascii="Arial" w:cs="Arial"/>
          <w:color w:val="000000"/>
          <w:lang w:val="pt-PT"/>
        </w:rPr>
        <w:t xml:space="preserve">zo competente e apresentada certid</w:t>
      </w:r>
      <w:r>
        <w:rPr>
          <w:rFonts w:cs="Arial"/>
          <w:color w:val="000000"/>
          <w:lang w:val="pt-PT"/>
        </w:rPr>
        <w:t xml:space="preserve">ã</w:t>
      </w:r>
      <w:r>
        <w:rPr>
          <w:rFonts w:ascii="Arial" w:cs="Arial"/>
          <w:color w:val="000000"/>
          <w:lang w:val="pt-PT"/>
        </w:rPr>
        <w:t xml:space="preserve">o emitida pelo ju</w:t>
      </w:r>
      <w:r>
        <w:rPr>
          <w:rFonts w:cs="Arial"/>
          <w:color w:val="000000"/>
          <w:lang w:val="pt-PT"/>
        </w:rPr>
        <w:t xml:space="preserve">í</w:t>
      </w:r>
      <w:r>
        <w:rPr>
          <w:rFonts w:ascii="Arial" w:cs="Arial"/>
          <w:color w:val="000000"/>
          <w:lang w:val="pt-PT"/>
        </w:rPr>
        <w:t xml:space="preserve">zo da recupera</w:t>
      </w:r>
      <w:r>
        <w:rPr>
          <w:rFonts w:cs="Arial"/>
          <w:color w:val="000000"/>
          <w:lang w:val="pt-PT"/>
        </w:rPr>
        <w:t xml:space="preserve">çã</w:t>
      </w:r>
      <w:r>
        <w:rPr>
          <w:rFonts w:ascii="Arial" w:cs="Arial"/>
          <w:color w:val="000000"/>
          <w:lang w:val="pt-PT"/>
        </w:rPr>
        <w:t xml:space="preserve">o, que ateste a aptid</w:t>
      </w:r>
      <w:r>
        <w:rPr>
          <w:rFonts w:cs="Arial"/>
          <w:color w:val="000000"/>
          <w:lang w:val="pt-PT"/>
        </w:rPr>
        <w:t xml:space="preserve">ã</w:t>
      </w:r>
      <w:r>
        <w:rPr>
          <w:rFonts w:ascii="Arial" w:cs="Arial"/>
          <w:color w:val="000000"/>
          <w:lang w:val="pt-PT"/>
        </w:rPr>
        <w:t xml:space="preserve">o econ</w:t>
      </w:r>
      <w:r>
        <w:rPr>
          <w:rFonts w:cs="Arial"/>
          <w:color w:val="000000"/>
          <w:lang w:val="pt-PT"/>
        </w:rPr>
        <w:t xml:space="preserve">ô</w:t>
      </w:r>
      <w:r>
        <w:rPr>
          <w:rFonts w:ascii="Arial" w:cs="Arial"/>
          <w:color w:val="000000"/>
          <w:lang w:val="pt-PT"/>
        </w:rPr>
        <w:t xml:space="preserve">mica e financeira para o certame.</w:t>
      </w:r>
      <w:r>
        <w:rPr>
          <w:rFonts w:ascii="Arial" w:cs="Arial"/>
          <w:color w:val="000000"/>
        </w:rPr>
        <w:t xml:space="preserve"> </w:t>
      </w:r>
      <w:r>
        <w:rPr>
          <w:rFonts w:ascii="Arial" w:cs="Arial"/>
          <w:color w:val="000000"/>
        </w:rPr>
      </w:r>
    </w:p>
    <w:p w14:paraId="0590CB17" w14:textId="77777777">
      <w:pPr>
        <w:pBdr/>
        <w:spacing w:line="276" w:lineRule="auto"/>
        <w:ind w:left="426"/>
        <w:jc w:val="both"/>
        <w:rPr>
          <w:rFonts w:ascii="Arial" w:cs="Arial"/>
          <w:color w:val="000000"/>
        </w:rPr>
      </w:pPr>
      <w:r>
        <w:rPr>
          <w:rFonts w:ascii="Arial" w:cs="Arial"/>
          <w:color w:val="000000"/>
        </w:rPr>
        <w:t xml:space="preserve"> </w:t>
      </w:r>
      <w:r>
        <w:rPr>
          <w:rFonts w:ascii="Arial" w:cs="Arial"/>
          <w:color w:val="000000"/>
        </w:rPr>
      </w:r>
    </w:p>
    <w:p w14:paraId="1ECBF34B" w14:textId="77777777">
      <w:pPr>
        <w:pBdr/>
        <w:spacing w:line="276" w:lineRule="auto"/>
        <w:ind w:left="426"/>
        <w:jc w:val="both"/>
        <w:rPr>
          <w:rFonts w:ascii="Arial" w:cs="Arial"/>
          <w:color w:val="000000"/>
        </w:rPr>
      </w:pPr>
      <w:r>
        <w:rPr>
          <w:rFonts w:ascii="Arial" w:cs="Arial"/>
          <w:b/>
        </w:rPr>
        <w:t xml:space="preserve">13.4.1.2. </w:t>
      </w:r>
      <w:r>
        <w:rPr>
          <w:rFonts w:ascii="Arial" w:cs="Arial"/>
          <w:color w:val="000000"/>
          <w:lang w:val="pt-PT"/>
        </w:rPr>
        <w:t xml:space="preserve">No caso de certid</w:t>
      </w:r>
      <w:r>
        <w:rPr>
          <w:rFonts w:cs="Arial"/>
          <w:color w:val="000000"/>
          <w:lang w:val="pt-PT"/>
        </w:rPr>
        <w:t xml:space="preserve">ã</w:t>
      </w:r>
      <w:r>
        <w:rPr>
          <w:rFonts w:ascii="Arial" w:cs="Arial"/>
          <w:color w:val="000000"/>
          <w:lang w:val="pt-PT"/>
        </w:rPr>
        <w:t xml:space="preserve">o positiva de recupera</w:t>
      </w:r>
      <w:r>
        <w:rPr>
          <w:rFonts w:cs="Arial"/>
          <w:color w:val="000000"/>
          <w:lang w:val="pt-PT"/>
        </w:rPr>
        <w:t xml:space="preserve">çã</w:t>
      </w:r>
      <w:r>
        <w:rPr>
          <w:rFonts w:ascii="Arial" w:cs="Arial"/>
          <w:color w:val="000000"/>
          <w:lang w:val="pt-PT"/>
        </w:rPr>
        <w:t xml:space="preserve">o judicial, o licitante dever</w:t>
      </w:r>
      <w:r>
        <w:rPr>
          <w:rFonts w:cs="Arial"/>
          <w:color w:val="000000"/>
          <w:lang w:val="pt-PT"/>
        </w:rPr>
        <w:t xml:space="preserve">á</w:t>
      </w:r>
      <w:r>
        <w:rPr>
          <w:rFonts w:ascii="Arial" w:cs="Arial"/>
          <w:color w:val="000000"/>
          <w:lang w:val="pt-PT"/>
        </w:rPr>
        <w:t xml:space="preserve"> apresentar a comprova</w:t>
      </w:r>
      <w:r>
        <w:rPr>
          <w:rFonts w:cs="Arial"/>
          <w:color w:val="000000"/>
          <w:lang w:val="pt-PT"/>
        </w:rPr>
        <w:t xml:space="preserve">çã</w:t>
      </w:r>
      <w:r>
        <w:rPr>
          <w:rFonts w:ascii="Arial" w:cs="Arial"/>
          <w:color w:val="000000"/>
          <w:lang w:val="pt-PT"/>
        </w:rPr>
        <w:t xml:space="preserve">o de que o respectivo plano de recupera</w:t>
      </w:r>
      <w:r>
        <w:rPr>
          <w:rFonts w:cs="Arial"/>
          <w:color w:val="000000"/>
          <w:lang w:val="pt-PT"/>
        </w:rPr>
        <w:t xml:space="preserve">çã</w:t>
      </w:r>
      <w:r>
        <w:rPr>
          <w:rFonts w:ascii="Arial" w:cs="Arial"/>
          <w:color w:val="000000"/>
          <w:lang w:val="pt-PT"/>
        </w:rPr>
        <w:t xml:space="preserve">o foi acolhido judicialmente na forma do art.58, da Lei 11.101/2005, sob pena de inabilita</w:t>
      </w:r>
      <w:r>
        <w:rPr>
          <w:rFonts w:cs="Arial"/>
          <w:color w:val="000000"/>
          <w:lang w:val="pt-PT"/>
        </w:rPr>
        <w:t xml:space="preserve">çã</w:t>
      </w:r>
      <w:r>
        <w:rPr>
          <w:rFonts w:ascii="Arial" w:cs="Arial"/>
          <w:color w:val="000000"/>
          <w:lang w:val="pt-PT"/>
        </w:rPr>
        <w:t xml:space="preserve">o, devendo, ainda, comprovar todos os demais requisitos de habilita</w:t>
      </w:r>
      <w:r>
        <w:rPr>
          <w:rFonts w:cs="Arial"/>
          <w:color w:val="000000"/>
          <w:lang w:val="pt-PT"/>
        </w:rPr>
        <w:t xml:space="preserve">çã</w:t>
      </w:r>
      <w:r>
        <w:rPr>
          <w:rFonts w:ascii="Arial" w:cs="Arial"/>
          <w:color w:val="000000"/>
          <w:lang w:val="pt-PT"/>
        </w:rPr>
        <w:t xml:space="preserve">o.</w:t>
      </w:r>
      <w:r>
        <w:rPr>
          <w:rFonts w:ascii="Arial" w:cs="Arial"/>
          <w:color w:val="000000"/>
        </w:rPr>
        <w:t xml:space="preserve"> </w:t>
      </w:r>
      <w:r>
        <w:rPr>
          <w:rFonts w:ascii="Arial" w:cs="Arial"/>
          <w:color w:val="000000"/>
        </w:rPr>
      </w:r>
    </w:p>
    <w:p w14:paraId="11415818" w14:textId="77777777">
      <w:pPr>
        <w:pBdr/>
        <w:spacing w:line="276" w:lineRule="auto"/>
        <w:ind w:left="426"/>
        <w:jc w:val="both"/>
        <w:rPr>
          <w:rFonts w:ascii="Arial" w:cs="Arial"/>
          <w:color w:val="000000"/>
        </w:rPr>
      </w:pPr>
      <w:r>
        <w:rPr>
          <w:rFonts w:ascii="Arial" w:cs="Arial"/>
          <w:color w:val="000000"/>
        </w:rPr>
      </w:r>
      <w:r>
        <w:rPr>
          <w:rFonts w:ascii="Arial" w:cs="Arial"/>
          <w:color w:val="000000"/>
        </w:rPr>
      </w:r>
    </w:p>
    <w:p w14:paraId="12DD4E03" w14:textId="77777777">
      <w:pPr>
        <w:pBdr/>
        <w:spacing w:line="276" w:lineRule="auto"/>
        <w:ind w:left="426"/>
        <w:jc w:val="both"/>
        <w:rPr>
          <w:rFonts w:ascii="Arial" w:cs="Arial"/>
          <w:color w:val="000000"/>
        </w:rPr>
      </w:pPr>
      <w:r>
        <w:rPr>
          <w:rFonts w:ascii="Arial" w:cs="Arial"/>
          <w:b/>
        </w:rPr>
        <w:t xml:space="preserve">13.4.2. </w:t>
      </w:r>
      <w:r>
        <w:rPr>
          <w:rFonts w:ascii="Arial" w:cs="Arial"/>
          <w:color w:val="000000"/>
          <w:lang w:val="pt-PT"/>
        </w:rPr>
        <w:t xml:space="preserve">Balan</w:t>
      </w:r>
      <w:r>
        <w:rPr>
          <w:rFonts w:cs="Arial"/>
          <w:color w:val="000000"/>
          <w:lang w:val="pt-PT"/>
        </w:rPr>
        <w:t xml:space="preserve">ç</w:t>
      </w:r>
      <w:r>
        <w:rPr>
          <w:rFonts w:ascii="Arial" w:cs="Arial"/>
          <w:color w:val="000000"/>
          <w:lang w:val="pt-PT"/>
        </w:rPr>
        <w:t xml:space="preserve">o patrimonial e demonstra</w:t>
      </w:r>
      <w:r>
        <w:rPr>
          <w:rFonts w:cs="Arial"/>
          <w:color w:val="000000"/>
          <w:lang w:val="pt-PT"/>
        </w:rPr>
        <w:t xml:space="preserve">çõ</w:t>
      </w:r>
      <w:r>
        <w:rPr>
          <w:rFonts w:ascii="Arial" w:cs="Arial"/>
          <w:color w:val="000000"/>
          <w:lang w:val="pt-PT"/>
        </w:rPr>
        <w:t xml:space="preserve">es cont</w:t>
      </w:r>
      <w:r>
        <w:rPr>
          <w:rFonts w:cs="Arial"/>
          <w:color w:val="000000"/>
          <w:lang w:val="pt-PT"/>
        </w:rPr>
        <w:t xml:space="preserve">á</w:t>
      </w:r>
      <w:r>
        <w:rPr>
          <w:rFonts w:ascii="Arial" w:cs="Arial"/>
          <w:color w:val="000000"/>
          <w:lang w:val="pt-PT"/>
        </w:rPr>
        <w:t xml:space="preserve">beis dos dois </w:t>
      </w:r>
      <w:r>
        <w:rPr>
          <w:rFonts w:cs="Arial"/>
          <w:color w:val="000000"/>
          <w:lang w:val="pt-PT"/>
        </w:rPr>
        <w:t xml:space="preserve">ú</w:t>
      </w:r>
      <w:r>
        <w:rPr>
          <w:rFonts w:ascii="Arial" w:cs="Arial"/>
          <w:color w:val="000000"/>
          <w:lang w:val="pt-PT"/>
        </w:rPr>
        <w:t xml:space="preserve">ltimos exerc</w:t>
      </w:r>
      <w:r>
        <w:rPr>
          <w:rFonts w:cs="Arial"/>
          <w:color w:val="000000"/>
          <w:lang w:val="pt-PT"/>
        </w:rPr>
        <w:t xml:space="preserve">í</w:t>
      </w:r>
      <w:r>
        <w:rPr>
          <w:rFonts w:ascii="Arial" w:cs="Arial"/>
          <w:color w:val="000000"/>
          <w:lang w:val="pt-PT"/>
        </w:rPr>
        <w:t xml:space="preserve">cios, j</w:t>
      </w:r>
      <w:r>
        <w:rPr>
          <w:rFonts w:cs="Arial"/>
          <w:color w:val="000000"/>
          <w:lang w:val="pt-PT"/>
        </w:rPr>
        <w:t xml:space="preserve">á</w:t>
      </w:r>
      <w:r>
        <w:rPr>
          <w:rFonts w:ascii="Arial" w:cs="Arial"/>
          <w:color w:val="000000"/>
          <w:lang w:val="pt-PT"/>
        </w:rPr>
        <w:t xml:space="preserve"> exig</w:t>
      </w:r>
      <w:r>
        <w:rPr>
          <w:rFonts w:cs="Arial"/>
          <w:color w:val="000000"/>
          <w:lang w:val="pt-PT"/>
        </w:rPr>
        <w:t xml:space="preserve">í</w:t>
      </w:r>
      <w:r>
        <w:rPr>
          <w:rFonts w:ascii="Arial" w:cs="Arial"/>
          <w:color w:val="000000"/>
          <w:lang w:val="pt-PT"/>
        </w:rPr>
        <w:t xml:space="preserve">veis e apresentados na forma da Lei, que comprovem a boa situa</w:t>
      </w:r>
      <w:r>
        <w:rPr>
          <w:rFonts w:cs="Arial"/>
          <w:color w:val="000000"/>
          <w:lang w:val="pt-PT"/>
        </w:rPr>
        <w:t xml:space="preserve">çã</w:t>
      </w:r>
      <w:r>
        <w:rPr>
          <w:rFonts w:ascii="Arial" w:cs="Arial"/>
          <w:color w:val="000000"/>
          <w:lang w:val="pt-PT"/>
        </w:rPr>
        <w:t xml:space="preserve">o financeira da empresa, vedada a sua substitui</w:t>
      </w:r>
      <w:r>
        <w:rPr>
          <w:rFonts w:cs="Arial"/>
          <w:color w:val="000000"/>
          <w:lang w:val="pt-PT"/>
        </w:rPr>
        <w:t xml:space="preserve">çã</w:t>
      </w:r>
      <w:r>
        <w:rPr>
          <w:rFonts w:ascii="Arial" w:cs="Arial"/>
          <w:color w:val="000000"/>
          <w:lang w:val="pt-PT"/>
        </w:rPr>
        <w:t xml:space="preserve">o por balancetes ou balan</w:t>
      </w:r>
      <w:r>
        <w:rPr>
          <w:rFonts w:cs="Arial"/>
          <w:color w:val="000000"/>
          <w:lang w:val="pt-PT"/>
        </w:rPr>
        <w:t xml:space="preserve">ç</w:t>
      </w:r>
      <w:r>
        <w:rPr>
          <w:rFonts w:ascii="Arial" w:cs="Arial"/>
          <w:color w:val="000000"/>
          <w:lang w:val="pt-PT"/>
        </w:rPr>
        <w:t xml:space="preserve">os provis</w:t>
      </w:r>
      <w:r>
        <w:rPr>
          <w:rFonts w:cs="Arial"/>
          <w:color w:val="000000"/>
          <w:lang w:val="pt-PT"/>
        </w:rPr>
        <w:t xml:space="preserve">ó</w:t>
      </w:r>
      <w:r>
        <w:rPr>
          <w:rFonts w:ascii="Arial" w:cs="Arial"/>
          <w:color w:val="000000"/>
          <w:lang w:val="pt-PT"/>
        </w:rPr>
        <w:t xml:space="preserve">rios, podendo ser atualizados por </w:t>
      </w:r>
      <w:r>
        <w:rPr>
          <w:rFonts w:cs="Arial"/>
          <w:color w:val="000000"/>
          <w:lang w:val="pt-PT"/>
        </w:rPr>
        <w:t xml:space="preserve">í</w:t>
      </w:r>
      <w:r>
        <w:rPr>
          <w:rFonts w:ascii="Arial" w:cs="Arial"/>
          <w:color w:val="000000"/>
          <w:lang w:val="pt-PT"/>
        </w:rPr>
        <w:t xml:space="preserve">ndices oficiais quando encerrados h</w:t>
      </w:r>
      <w:r>
        <w:rPr>
          <w:rFonts w:cs="Arial"/>
          <w:color w:val="000000"/>
          <w:lang w:val="pt-PT"/>
        </w:rPr>
        <w:t xml:space="preserve">á</w:t>
      </w:r>
      <w:r>
        <w:rPr>
          <w:rFonts w:ascii="Arial" w:cs="Arial"/>
          <w:color w:val="000000"/>
          <w:lang w:val="pt-PT"/>
        </w:rPr>
        <w:t xml:space="preserve"> mais de tr</w:t>
      </w:r>
      <w:r>
        <w:rPr>
          <w:rFonts w:cs="Arial"/>
          <w:color w:val="000000"/>
          <w:lang w:val="pt-PT"/>
        </w:rPr>
        <w:t xml:space="preserve">ê</w:t>
      </w:r>
      <w:r>
        <w:rPr>
          <w:rFonts w:ascii="Arial" w:cs="Arial"/>
          <w:color w:val="000000"/>
          <w:lang w:val="pt-PT"/>
        </w:rPr>
        <w:t xml:space="preserve">s meses da data de apresenta</w:t>
      </w:r>
      <w:r>
        <w:rPr>
          <w:rFonts w:cs="Arial"/>
          <w:color w:val="000000"/>
          <w:lang w:val="pt-PT"/>
        </w:rPr>
        <w:t xml:space="preserve">çã</w:t>
      </w:r>
      <w:r>
        <w:rPr>
          <w:rFonts w:ascii="Arial" w:cs="Arial"/>
          <w:color w:val="000000"/>
          <w:lang w:val="pt-PT"/>
        </w:rPr>
        <w:t xml:space="preserve">o da proposta.</w:t>
      </w:r>
      <w:r>
        <w:rPr>
          <w:rFonts w:ascii="Arial" w:cs="Arial"/>
          <w:color w:val="000000"/>
        </w:rPr>
        <w:t xml:space="preserve"> </w:t>
      </w:r>
      <w:r>
        <w:rPr>
          <w:rFonts w:ascii="Arial" w:cs="Arial"/>
          <w:color w:val="000000"/>
        </w:rPr>
      </w:r>
    </w:p>
    <w:p w14:paraId="4F0692E5" w14:textId="77777777">
      <w:pPr>
        <w:pBdr/>
        <w:spacing w:line="276" w:lineRule="auto"/>
        <w:ind w:left="426"/>
        <w:jc w:val="both"/>
        <w:rPr>
          <w:rFonts w:ascii="Arial" w:cs="Arial"/>
          <w:color w:val="000000"/>
        </w:rPr>
      </w:pPr>
      <w:r>
        <w:rPr>
          <w:rFonts w:ascii="Arial" w:cs="Arial"/>
          <w:color w:val="000000"/>
        </w:rPr>
        <w:t xml:space="preserve"> </w:t>
      </w:r>
      <w:r>
        <w:rPr>
          <w:rFonts w:ascii="Arial" w:cs="Arial"/>
          <w:color w:val="000000"/>
        </w:rPr>
      </w:r>
    </w:p>
    <w:p w14:paraId="4A3E31CF" w14:textId="77777777">
      <w:pPr>
        <w:pBdr/>
        <w:spacing w:line="276" w:lineRule="auto"/>
        <w:ind w:left="426"/>
        <w:jc w:val="both"/>
        <w:rPr>
          <w:rFonts w:ascii="Arial" w:cs="Arial"/>
          <w:color w:val="000000"/>
        </w:rPr>
      </w:pPr>
      <w:r>
        <w:rPr>
          <w:rFonts w:ascii="Arial" w:cs="Arial"/>
          <w:b/>
        </w:rPr>
        <w:t xml:space="preserve">13.4.3. </w:t>
      </w:r>
      <w:r>
        <w:rPr>
          <w:rFonts w:ascii="Arial" w:cs="Arial"/>
          <w:color w:val="000000"/>
          <w:lang w:val="pt-PT"/>
        </w:rPr>
        <w:t xml:space="preserve">Ser</w:t>
      </w:r>
      <w:r>
        <w:rPr>
          <w:rFonts w:cs="Arial"/>
          <w:color w:val="000000"/>
          <w:lang w:val="pt-PT"/>
        </w:rPr>
        <w:t xml:space="preserve">ã</w:t>
      </w:r>
      <w:r>
        <w:rPr>
          <w:rFonts w:ascii="Arial" w:cs="Arial"/>
          <w:color w:val="000000"/>
          <w:lang w:val="pt-PT"/>
        </w:rPr>
        <w:t xml:space="preserve">o considerados aceitos como na forma da lei o balan</w:t>
      </w:r>
      <w:r>
        <w:rPr>
          <w:rFonts w:cs="Arial"/>
          <w:color w:val="000000"/>
          <w:lang w:val="pt-PT"/>
        </w:rPr>
        <w:t xml:space="preserve">ç</w:t>
      </w:r>
      <w:r>
        <w:rPr>
          <w:rFonts w:ascii="Arial" w:cs="Arial"/>
          <w:color w:val="000000"/>
          <w:lang w:val="pt-PT"/>
        </w:rPr>
        <w:t xml:space="preserve">o patrimonial e demonstra</w:t>
      </w:r>
      <w:r>
        <w:rPr>
          <w:rFonts w:cs="Arial"/>
          <w:color w:val="000000"/>
          <w:lang w:val="pt-PT"/>
        </w:rPr>
        <w:t xml:space="preserve">çõ</w:t>
      </w:r>
      <w:r>
        <w:rPr>
          <w:rFonts w:ascii="Arial" w:cs="Arial"/>
          <w:color w:val="000000"/>
          <w:lang w:val="pt-PT"/>
        </w:rPr>
        <w:t xml:space="preserve">es cont</w:t>
      </w:r>
      <w:r>
        <w:rPr>
          <w:rFonts w:cs="Arial"/>
          <w:color w:val="000000"/>
          <w:lang w:val="pt-PT"/>
        </w:rPr>
        <w:t xml:space="preserve">á</w:t>
      </w:r>
      <w:r>
        <w:rPr>
          <w:rFonts w:ascii="Arial" w:cs="Arial"/>
          <w:color w:val="000000"/>
          <w:lang w:val="pt-PT"/>
        </w:rPr>
        <w:t xml:space="preserve">beis assim apresentados:</w:t>
      </w:r>
      <w:r>
        <w:rPr>
          <w:rFonts w:ascii="Arial" w:cs="Arial"/>
          <w:color w:val="000000"/>
        </w:rPr>
        <w:t xml:space="preserve"> </w:t>
      </w:r>
      <w:r>
        <w:rPr>
          <w:rFonts w:ascii="Arial" w:cs="Arial"/>
          <w:color w:val="000000"/>
        </w:rPr>
      </w:r>
    </w:p>
    <w:p w14:paraId="4F09AB23" w14:textId="77777777">
      <w:pPr>
        <w:pBdr/>
        <w:spacing w:line="276" w:lineRule="auto"/>
        <w:ind w:left="426"/>
        <w:jc w:val="both"/>
        <w:rPr>
          <w:rFonts w:ascii="Arial" w:cs="Arial"/>
          <w:color w:val="000000"/>
        </w:rPr>
      </w:pPr>
      <w:r>
        <w:rPr>
          <w:rFonts w:ascii="Arial" w:cs="Arial"/>
          <w:color w:val="000000"/>
        </w:rPr>
        <w:t xml:space="preserve"> </w:t>
      </w:r>
      <w:r>
        <w:rPr>
          <w:rFonts w:ascii="Arial" w:cs="Arial"/>
          <w:color w:val="000000"/>
        </w:rPr>
      </w:r>
    </w:p>
    <w:p w14:paraId="40F74EDB" w14:textId="77777777">
      <w:pPr>
        <w:pBdr/>
        <w:spacing w:line="276" w:lineRule="auto"/>
        <w:ind w:left="426"/>
        <w:jc w:val="both"/>
        <w:rPr>
          <w:rFonts w:ascii="Arial" w:cs="Arial"/>
          <w:color w:val="000000"/>
        </w:rPr>
      </w:pPr>
      <w:r>
        <w:rPr>
          <w:rFonts w:ascii="Arial" w:cs="Arial"/>
          <w:b/>
        </w:rPr>
        <w:t xml:space="preserve">13.4.3.1. </w:t>
      </w:r>
      <w:r>
        <w:rPr>
          <w:rFonts w:ascii="Arial" w:cs="Arial"/>
          <w:b/>
          <w:color w:val="000000"/>
          <w:lang w:val="pt-PT"/>
        </w:rPr>
        <w:t xml:space="preserve">Sociedades regidas pela Lei n</w:t>
      </w:r>
      <w:r>
        <w:rPr>
          <w:rFonts w:cs="Arial"/>
          <w:b/>
          <w:color w:val="000000"/>
          <w:lang w:val="pt-PT"/>
        </w:rPr>
        <w:t xml:space="preserve">º</w:t>
      </w:r>
      <w:r>
        <w:rPr>
          <w:rFonts w:ascii="Arial" w:cs="Arial"/>
          <w:b/>
          <w:color w:val="000000"/>
          <w:lang w:val="pt-PT"/>
        </w:rPr>
        <w:t xml:space="preserve"> 6.404/76 (sociedade an</w:t>
      </w:r>
      <w:r>
        <w:rPr>
          <w:rFonts w:cs="Arial"/>
          <w:b/>
          <w:color w:val="000000"/>
          <w:lang w:val="pt-PT"/>
        </w:rPr>
        <w:t xml:space="preserve">ô</w:t>
      </w:r>
      <w:r>
        <w:rPr>
          <w:rFonts w:ascii="Arial" w:cs="Arial"/>
          <w:b/>
          <w:color w:val="000000"/>
          <w:lang w:val="pt-PT"/>
        </w:rPr>
        <w:t xml:space="preserve">nima):</w:t>
      </w:r>
      <w:r>
        <w:rPr>
          <w:rFonts w:ascii="Arial" w:cs="Arial"/>
          <w:color w:val="000000"/>
        </w:rPr>
        <w:t xml:space="preserve"> </w:t>
      </w:r>
      <w:r>
        <w:rPr>
          <w:rFonts w:ascii="Arial" w:cs="Arial"/>
          <w:color w:val="000000"/>
        </w:rPr>
      </w:r>
    </w:p>
    <w:p w14:paraId="6A990C09" w14:textId="77777777">
      <w:pPr>
        <w:pBdr/>
        <w:spacing w:line="276" w:lineRule="auto"/>
        <w:ind w:left="426"/>
        <w:jc w:val="both"/>
        <w:rPr>
          <w:rFonts w:ascii="Arial" w:cs="Arial"/>
          <w:color w:val="000000"/>
        </w:rPr>
      </w:pPr>
      <w:r>
        <w:rPr>
          <w:rFonts w:ascii="Arial" w:cs="Arial"/>
          <w:color w:val="000000"/>
          <w:lang w:val="pt-PT"/>
        </w:rPr>
        <w:t xml:space="preserve"> </w:t>
      </w:r>
      <w:r>
        <w:rPr>
          <w:rFonts w:ascii="Arial" w:cs="Arial"/>
          <w:color w:val="000000"/>
        </w:rPr>
        <w:t xml:space="preserve"> </w:t>
      </w:r>
      <w:r>
        <w:rPr>
          <w:rFonts w:ascii="Arial" w:cs="Arial"/>
          <w:color w:val="000000"/>
        </w:rPr>
      </w:r>
    </w:p>
    <w:p w14:paraId="0C6FA55E" w14:textId="77777777">
      <w:pPr>
        <w:pBdr/>
        <w:spacing w:line="276" w:lineRule="auto"/>
        <w:ind w:left="426"/>
        <w:jc w:val="both"/>
        <w:rPr>
          <w:rFonts w:ascii="Arial" w:cs="Arial"/>
          <w:color w:val="000000"/>
        </w:rPr>
      </w:pPr>
      <w:r>
        <w:rPr>
          <w:rFonts w:ascii="Arial" w:cs="Arial"/>
          <w:color w:val="000000"/>
          <w:lang w:val="pt-PT"/>
        </w:rPr>
        <w:t xml:space="preserve">- Publicados em Di</w:t>
      </w:r>
      <w:r>
        <w:rPr>
          <w:rFonts w:cs="Arial"/>
          <w:color w:val="000000"/>
          <w:lang w:val="pt-PT"/>
        </w:rPr>
        <w:t xml:space="preserve">á</w:t>
      </w:r>
      <w:r>
        <w:rPr>
          <w:rFonts w:ascii="Arial" w:cs="Arial"/>
          <w:color w:val="000000"/>
          <w:lang w:val="pt-PT"/>
        </w:rPr>
        <w:t xml:space="preserve">rio Oficial; ou</w:t>
      </w:r>
      <w:r>
        <w:rPr>
          <w:rFonts w:ascii="Arial" w:cs="Arial"/>
          <w:color w:val="000000"/>
        </w:rPr>
        <w:t xml:space="preserve"> </w:t>
      </w:r>
      <w:r>
        <w:rPr>
          <w:rFonts w:ascii="Arial" w:cs="Arial"/>
          <w:color w:val="000000"/>
        </w:rPr>
      </w:r>
    </w:p>
    <w:p w14:paraId="3227B06F" w14:textId="77777777">
      <w:pPr>
        <w:pBdr/>
        <w:spacing w:line="276" w:lineRule="auto"/>
        <w:ind w:left="426"/>
        <w:jc w:val="both"/>
        <w:rPr>
          <w:rFonts w:ascii="Arial" w:cs="Arial"/>
          <w:color w:val="000000"/>
        </w:rPr>
      </w:pPr>
      <w:r>
        <w:rPr>
          <w:rFonts w:ascii="Arial" w:cs="Arial"/>
          <w:color w:val="000000"/>
          <w:lang w:val="pt-PT"/>
        </w:rPr>
        <w:t xml:space="preserve">- Publicados em jornal de grande circula</w:t>
      </w:r>
      <w:r>
        <w:rPr>
          <w:rFonts w:cs="Arial"/>
          <w:color w:val="000000"/>
          <w:lang w:val="pt-PT"/>
        </w:rPr>
        <w:t xml:space="preserve">çã</w:t>
      </w:r>
      <w:r>
        <w:rPr>
          <w:rFonts w:ascii="Arial" w:cs="Arial"/>
          <w:color w:val="000000"/>
          <w:lang w:val="pt-PT"/>
        </w:rPr>
        <w:t xml:space="preserve">o; ou</w:t>
      </w:r>
      <w:r>
        <w:rPr>
          <w:rFonts w:ascii="Arial" w:cs="Arial"/>
          <w:color w:val="000000"/>
          <w:lang w:val="pt-PT"/>
        </w:rPr>
        <w:t xml:space="preserve"> </w:t>
      </w:r>
      <w:r>
        <w:rPr>
          <w:rFonts w:ascii="Arial" w:cs="Arial"/>
          <w:color w:val="000000"/>
        </w:rPr>
        <w:t xml:space="preserve"> </w:t>
      </w:r>
      <w:r>
        <w:rPr>
          <w:rFonts w:ascii="Arial" w:cs="Arial"/>
          <w:color w:val="000000"/>
        </w:rPr>
      </w:r>
    </w:p>
    <w:p w14:paraId="37A86F63" w14:textId="77777777">
      <w:pPr>
        <w:pBdr/>
        <w:spacing w:line="276" w:lineRule="auto"/>
        <w:ind w:left="426"/>
        <w:jc w:val="both"/>
        <w:rPr>
          <w:rFonts w:ascii="Arial" w:cs="Arial"/>
          <w:color w:val="000000"/>
        </w:rPr>
      </w:pPr>
      <w:r>
        <w:rPr>
          <w:rFonts w:ascii="Arial" w:cs="Arial"/>
          <w:color w:val="000000"/>
          <w:lang w:val="pt-PT"/>
        </w:rPr>
        <w:t xml:space="preserve">- Por fotoc</w:t>
      </w:r>
      <w:r>
        <w:rPr>
          <w:rFonts w:cs="Arial"/>
          <w:color w:val="000000"/>
          <w:lang w:val="pt-PT"/>
        </w:rPr>
        <w:t xml:space="preserve">ó</w:t>
      </w:r>
      <w:r>
        <w:rPr>
          <w:rFonts w:ascii="Arial" w:cs="Arial"/>
          <w:color w:val="000000"/>
          <w:lang w:val="pt-PT"/>
        </w:rPr>
        <w:t xml:space="preserve">pia registrada ou autenticada na Junta Comercial da sede ou domic</w:t>
      </w:r>
      <w:r>
        <w:rPr>
          <w:rFonts w:cs="Arial"/>
          <w:color w:val="000000"/>
          <w:lang w:val="pt-PT"/>
        </w:rPr>
        <w:t xml:space="preserve">í</w:t>
      </w:r>
      <w:r>
        <w:rPr>
          <w:rFonts w:ascii="Arial" w:cs="Arial"/>
          <w:color w:val="000000"/>
          <w:lang w:val="pt-PT"/>
        </w:rPr>
        <w:t xml:space="preserve">lio do licitante.</w:t>
      </w:r>
      <w:r>
        <w:rPr>
          <w:rFonts w:ascii="Arial" w:cs="Arial"/>
          <w:color w:val="000000"/>
        </w:rPr>
        <w:t xml:space="preserve"> </w:t>
      </w:r>
      <w:r>
        <w:rPr>
          <w:rFonts w:ascii="Arial" w:cs="Arial"/>
          <w:color w:val="000000"/>
        </w:rPr>
      </w:r>
    </w:p>
    <w:p w14:paraId="53C5F35E" w14:textId="77777777">
      <w:pPr>
        <w:pBdr/>
        <w:spacing w:line="276" w:lineRule="auto"/>
        <w:ind w:left="426"/>
        <w:jc w:val="both"/>
        <w:rPr>
          <w:rFonts w:ascii="Arial" w:cs="Arial"/>
          <w:color w:val="000000"/>
        </w:rPr>
      </w:pPr>
      <w:r>
        <w:rPr>
          <w:rFonts w:ascii="Arial" w:cs="Arial"/>
          <w:color w:val="000000"/>
        </w:rPr>
        <w:t xml:space="preserve"> </w:t>
      </w:r>
      <w:r>
        <w:rPr>
          <w:rFonts w:ascii="Arial" w:cs="Arial"/>
          <w:color w:val="000000"/>
        </w:rPr>
      </w:r>
    </w:p>
    <w:p w14:paraId="6C164526" w14:textId="77777777">
      <w:pPr>
        <w:pBdr/>
        <w:spacing w:line="276" w:lineRule="auto"/>
        <w:ind w:left="426"/>
        <w:jc w:val="both"/>
        <w:rPr>
          <w:rFonts w:ascii="Arial" w:cs="Arial"/>
          <w:color w:val="000000"/>
        </w:rPr>
      </w:pPr>
      <w:r>
        <w:rPr>
          <w:rFonts w:ascii="Arial" w:cs="Arial"/>
          <w:b/>
        </w:rPr>
        <w:t xml:space="preserve">13.4.3.2. </w:t>
      </w:r>
      <w:r>
        <w:rPr>
          <w:rFonts w:ascii="Arial" w:cs="Arial"/>
          <w:b/>
          <w:color w:val="000000"/>
          <w:lang w:val="pt-PT"/>
        </w:rPr>
        <w:t xml:space="preserve">Sociedades por cota de responsabilidade limitada (LTDA):</w:t>
      </w:r>
      <w:r>
        <w:rPr>
          <w:rFonts w:ascii="Arial" w:cs="Arial"/>
          <w:color w:val="000000"/>
        </w:rPr>
        <w:t xml:space="preserve"> </w:t>
      </w:r>
      <w:r>
        <w:rPr>
          <w:rFonts w:ascii="Arial" w:cs="Arial"/>
          <w:color w:val="000000"/>
        </w:rPr>
      </w:r>
    </w:p>
    <w:p w14:paraId="2D67A124" w14:textId="77777777">
      <w:pPr>
        <w:pBdr/>
        <w:spacing w:line="276" w:lineRule="auto"/>
        <w:ind w:left="426"/>
        <w:jc w:val="both"/>
        <w:rPr>
          <w:rFonts w:ascii="Arial" w:cs="Arial"/>
          <w:color w:val="000000"/>
        </w:rPr>
      </w:pPr>
      <w:r>
        <w:rPr>
          <w:rFonts w:ascii="Arial" w:cs="Arial"/>
          <w:color w:val="000000"/>
        </w:rPr>
        <w:t xml:space="preserve"> </w:t>
      </w:r>
      <w:r>
        <w:rPr>
          <w:rFonts w:ascii="Arial" w:cs="Arial"/>
          <w:color w:val="000000"/>
        </w:rPr>
      </w:r>
    </w:p>
    <w:p w14:paraId="7B9DAFED" w14:textId="77777777">
      <w:pPr>
        <w:pBdr/>
        <w:spacing w:line="276" w:lineRule="auto"/>
        <w:ind w:left="426"/>
        <w:jc w:val="both"/>
        <w:rPr>
          <w:rFonts w:ascii="Arial" w:cs="Arial"/>
          <w:color w:val="000000"/>
        </w:rPr>
      </w:pPr>
      <w:r>
        <w:rPr>
          <w:rFonts w:ascii="Arial" w:cs="Arial"/>
          <w:color w:val="000000"/>
          <w:lang w:val="pt-PT"/>
        </w:rPr>
        <w:t xml:space="preserve">- Por fotoc</w:t>
      </w:r>
      <w:r>
        <w:rPr>
          <w:rFonts w:cs="Arial"/>
          <w:color w:val="000000"/>
          <w:lang w:val="pt-PT"/>
        </w:rPr>
        <w:t xml:space="preserve">ó</w:t>
      </w:r>
      <w:r>
        <w:rPr>
          <w:rFonts w:ascii="Arial" w:cs="Arial"/>
          <w:color w:val="000000"/>
          <w:lang w:val="pt-PT"/>
        </w:rPr>
        <w:t xml:space="preserve">pia do Balan</w:t>
      </w:r>
      <w:r>
        <w:rPr>
          <w:rFonts w:cs="Arial"/>
          <w:color w:val="000000"/>
          <w:lang w:val="pt-PT"/>
        </w:rPr>
        <w:t xml:space="preserve">ç</w:t>
      </w:r>
      <w:r>
        <w:rPr>
          <w:rFonts w:ascii="Arial" w:cs="Arial"/>
          <w:color w:val="000000"/>
          <w:lang w:val="pt-PT"/>
        </w:rPr>
        <w:t xml:space="preserve">o e das Demonstra</w:t>
      </w:r>
      <w:r>
        <w:rPr>
          <w:rFonts w:cs="Arial"/>
          <w:color w:val="000000"/>
          <w:lang w:val="pt-PT"/>
        </w:rPr>
        <w:t xml:space="preserve">çõ</w:t>
      </w:r>
      <w:r>
        <w:rPr>
          <w:rFonts w:ascii="Arial" w:cs="Arial"/>
          <w:color w:val="000000"/>
          <w:lang w:val="pt-PT"/>
        </w:rPr>
        <w:t xml:space="preserve">es Cont</w:t>
      </w:r>
      <w:r>
        <w:rPr>
          <w:rFonts w:cs="Arial"/>
          <w:color w:val="000000"/>
          <w:lang w:val="pt-PT"/>
        </w:rPr>
        <w:t xml:space="preserve">á</w:t>
      </w:r>
      <w:r>
        <w:rPr>
          <w:rFonts w:ascii="Arial" w:cs="Arial"/>
          <w:color w:val="000000"/>
          <w:lang w:val="pt-PT"/>
        </w:rPr>
        <w:t xml:space="preserve">beis, inclusive com os Termos de Abertura e de Encerramento do Livro Di</w:t>
      </w:r>
      <w:r>
        <w:rPr>
          <w:rFonts w:cs="Arial"/>
          <w:color w:val="000000"/>
          <w:lang w:val="pt-PT"/>
        </w:rPr>
        <w:t xml:space="preserve">á</w:t>
      </w:r>
      <w:r>
        <w:rPr>
          <w:rFonts w:ascii="Arial" w:cs="Arial"/>
          <w:color w:val="000000"/>
          <w:lang w:val="pt-PT"/>
        </w:rPr>
        <w:t xml:space="preserve">rio, devidamente autenticado na Junta Comercial da sede ou domic</w:t>
      </w:r>
      <w:r>
        <w:rPr>
          <w:rFonts w:cs="Arial"/>
          <w:color w:val="000000"/>
          <w:lang w:val="pt-PT"/>
        </w:rPr>
        <w:t xml:space="preserve">í</w:t>
      </w:r>
      <w:r>
        <w:rPr>
          <w:rFonts w:ascii="Arial" w:cs="Arial"/>
          <w:color w:val="000000"/>
          <w:lang w:val="pt-PT"/>
        </w:rPr>
        <w:t xml:space="preserve">lio do licitante ou em outro </w:t>
      </w:r>
      <w:r>
        <w:rPr>
          <w:rFonts w:cs="Arial"/>
          <w:color w:val="000000"/>
          <w:lang w:val="pt-PT"/>
        </w:rPr>
        <w:t xml:space="preserve">ó</w:t>
      </w:r>
      <w:r>
        <w:rPr>
          <w:rFonts w:ascii="Arial" w:cs="Arial"/>
          <w:color w:val="000000"/>
          <w:lang w:val="pt-PT"/>
        </w:rPr>
        <w:t xml:space="preserve">rg</w:t>
      </w:r>
      <w:r>
        <w:rPr>
          <w:rFonts w:cs="Arial"/>
          <w:color w:val="000000"/>
          <w:lang w:val="pt-PT"/>
        </w:rPr>
        <w:t xml:space="preserve">ã</w:t>
      </w:r>
      <w:r>
        <w:rPr>
          <w:rFonts w:ascii="Arial" w:cs="Arial"/>
          <w:color w:val="000000"/>
          <w:lang w:val="pt-PT"/>
        </w:rPr>
        <w:t xml:space="preserve">o equivalente. </w:t>
      </w:r>
      <w:r>
        <w:rPr>
          <w:rFonts w:ascii="Arial" w:cs="Arial"/>
          <w:b/>
          <w:color w:val="000000"/>
          <w:lang w:val="pt-PT"/>
        </w:rPr>
        <w:t xml:space="preserve">(Observa</w:t>
      </w:r>
      <w:r>
        <w:rPr>
          <w:rFonts w:cs="Arial"/>
          <w:b/>
          <w:color w:val="000000"/>
          <w:lang w:val="pt-PT"/>
        </w:rPr>
        <w:t xml:space="preserve">çã</w:t>
      </w:r>
      <w:r>
        <w:rPr>
          <w:rFonts w:ascii="Arial" w:cs="Arial"/>
          <w:b/>
          <w:color w:val="000000"/>
          <w:lang w:val="pt-PT"/>
        </w:rPr>
        <w:t xml:space="preserve">o, as Microempresa e Empresa de pequeno porte, n</w:t>
      </w:r>
      <w:r>
        <w:rPr>
          <w:rFonts w:cs="Arial"/>
          <w:b/>
          <w:color w:val="000000"/>
          <w:lang w:val="pt-PT"/>
        </w:rPr>
        <w:t xml:space="preserve">ã</w:t>
      </w:r>
      <w:r>
        <w:rPr>
          <w:rFonts w:ascii="Arial" w:cs="Arial"/>
          <w:b/>
          <w:color w:val="000000"/>
          <w:lang w:val="pt-PT"/>
        </w:rPr>
        <w:t xml:space="preserve">o est</w:t>
      </w:r>
      <w:r>
        <w:rPr>
          <w:rFonts w:cs="Arial"/>
          <w:b/>
          <w:color w:val="000000"/>
          <w:lang w:val="pt-PT"/>
        </w:rPr>
        <w:t xml:space="preserve">ã</w:t>
      </w:r>
      <w:r>
        <w:rPr>
          <w:rFonts w:ascii="Arial" w:cs="Arial"/>
          <w:b/>
          <w:color w:val="000000"/>
          <w:lang w:val="pt-PT"/>
        </w:rPr>
        <w:t xml:space="preserve">o desobrigadas de apresentarem toda a qualifica</w:t>
      </w:r>
      <w:r>
        <w:rPr>
          <w:rFonts w:cs="Arial"/>
          <w:b/>
          <w:color w:val="000000"/>
          <w:lang w:val="pt-PT"/>
        </w:rPr>
        <w:t xml:space="preserve">çã</w:t>
      </w:r>
      <w:r>
        <w:rPr>
          <w:rFonts w:ascii="Arial" w:cs="Arial"/>
          <w:b/>
          <w:color w:val="000000"/>
          <w:lang w:val="pt-PT"/>
        </w:rPr>
        <w:t xml:space="preserve">o econ</w:t>
      </w:r>
      <w:r>
        <w:rPr>
          <w:rFonts w:cs="Arial"/>
          <w:b/>
          <w:color w:val="000000"/>
          <w:lang w:val="pt-PT"/>
        </w:rPr>
        <w:t xml:space="preserve">ô</w:t>
      </w:r>
      <w:r>
        <w:rPr>
          <w:rFonts w:ascii="Arial" w:cs="Arial"/>
          <w:b/>
          <w:color w:val="000000"/>
          <w:lang w:val="pt-PT"/>
        </w:rPr>
        <w:t xml:space="preserve">mica financeira exigida nesse Termo de Refer</w:t>
      </w:r>
      <w:r>
        <w:rPr>
          <w:rFonts w:cs="Arial"/>
          <w:b/>
          <w:color w:val="000000"/>
          <w:lang w:val="pt-PT"/>
        </w:rPr>
        <w:t xml:space="preserve">ê</w:t>
      </w:r>
      <w:r>
        <w:rPr>
          <w:rFonts w:ascii="Arial" w:cs="Arial"/>
          <w:b/>
          <w:color w:val="000000"/>
          <w:lang w:val="pt-PT"/>
        </w:rPr>
        <w:t xml:space="preserve">ncia).</w:t>
      </w:r>
      <w:r>
        <w:rPr>
          <w:rFonts w:ascii="Arial" w:cs="Arial"/>
          <w:color w:val="000000"/>
        </w:rPr>
        <w:t xml:space="preserve"> </w:t>
      </w:r>
      <w:r>
        <w:rPr>
          <w:rFonts w:ascii="Arial" w:cs="Arial"/>
          <w:color w:val="000000"/>
        </w:rPr>
      </w:r>
    </w:p>
    <w:p w14:paraId="6B730CBC" w14:textId="77777777">
      <w:pPr>
        <w:pBdr/>
        <w:spacing w:line="276" w:lineRule="auto"/>
        <w:ind w:left="426"/>
        <w:jc w:val="both"/>
        <w:rPr>
          <w:rFonts w:ascii="Arial" w:cs="Arial"/>
          <w:color w:val="000000"/>
        </w:rPr>
      </w:pPr>
      <w:r>
        <w:rPr>
          <w:rFonts w:ascii="Arial" w:cs="Arial"/>
          <w:color w:val="000000"/>
        </w:rPr>
      </w:r>
      <w:r>
        <w:rPr>
          <w:rFonts w:ascii="Arial" w:cs="Arial"/>
          <w:color w:val="000000"/>
        </w:rPr>
      </w:r>
    </w:p>
    <w:p w14:paraId="37BC6908" w14:textId="77777777">
      <w:pPr>
        <w:pBdr/>
        <w:spacing w:line="276" w:lineRule="auto"/>
        <w:ind w:left="426"/>
        <w:jc w:val="both"/>
        <w:rPr>
          <w:rFonts w:ascii="Arial" w:cs="Arial"/>
          <w:color w:val="000000"/>
        </w:rPr>
      </w:pPr>
      <w:r>
        <w:rPr>
          <w:rFonts w:ascii="Arial" w:cs="Arial"/>
          <w:b/>
          <w:color w:val="000000"/>
          <w:lang w:val="pt-PT"/>
        </w:rPr>
        <w:t xml:space="preserve">13.4.3.3. Sociedades e pessoas jur</w:t>
      </w:r>
      <w:r>
        <w:rPr>
          <w:rFonts w:cs="Arial"/>
          <w:b/>
          <w:color w:val="000000"/>
          <w:lang w:val="pt-PT"/>
        </w:rPr>
        <w:t xml:space="preserve">í</w:t>
      </w:r>
      <w:r>
        <w:rPr>
          <w:rFonts w:ascii="Arial" w:cs="Arial"/>
          <w:b/>
          <w:color w:val="000000"/>
          <w:lang w:val="pt-PT"/>
        </w:rPr>
        <w:t xml:space="preserve">dicas constitu</w:t>
      </w:r>
      <w:r>
        <w:rPr>
          <w:rFonts w:cs="Arial"/>
          <w:b/>
          <w:color w:val="000000"/>
          <w:lang w:val="pt-PT"/>
        </w:rPr>
        <w:t xml:space="preserve">í</w:t>
      </w:r>
      <w:r>
        <w:rPr>
          <w:rFonts w:ascii="Arial" w:cs="Arial"/>
          <w:b/>
          <w:color w:val="000000"/>
          <w:lang w:val="pt-PT"/>
        </w:rPr>
        <w:t xml:space="preserve">das h</w:t>
      </w:r>
      <w:r>
        <w:rPr>
          <w:rFonts w:cs="Arial"/>
          <w:b/>
          <w:color w:val="000000"/>
          <w:lang w:val="pt-PT"/>
        </w:rPr>
        <w:t xml:space="preserve">á</w:t>
      </w:r>
      <w:r>
        <w:rPr>
          <w:rFonts w:ascii="Arial" w:cs="Arial"/>
          <w:b/>
          <w:color w:val="000000"/>
          <w:lang w:val="pt-PT"/>
        </w:rPr>
        <w:t xml:space="preserve"> menos de 2 (dois) anos, dever</w:t>
      </w:r>
      <w:r>
        <w:rPr>
          <w:rFonts w:cs="Arial"/>
          <w:b/>
          <w:color w:val="000000"/>
          <w:lang w:val="pt-PT"/>
        </w:rPr>
        <w:t xml:space="preserve">ã</w:t>
      </w:r>
      <w:r>
        <w:rPr>
          <w:rFonts w:ascii="Arial" w:cs="Arial"/>
          <w:b/>
          <w:color w:val="000000"/>
          <w:lang w:val="pt-PT"/>
        </w:rPr>
        <w:t xml:space="preserve">o apresentar a documenta</w:t>
      </w:r>
      <w:r>
        <w:rPr>
          <w:rFonts w:cs="Arial"/>
          <w:b/>
          <w:color w:val="000000"/>
          <w:lang w:val="pt-PT"/>
        </w:rPr>
        <w:t xml:space="preserve">çã</w:t>
      </w:r>
      <w:r>
        <w:rPr>
          <w:rFonts w:ascii="Arial" w:cs="Arial"/>
          <w:b/>
          <w:color w:val="000000"/>
          <w:lang w:val="pt-PT"/>
        </w:rPr>
        <w:t xml:space="preserve">o relativa ao </w:t>
      </w:r>
      <w:r>
        <w:rPr>
          <w:rFonts w:cs="Arial"/>
          <w:b/>
          <w:color w:val="000000"/>
          <w:lang w:val="pt-PT"/>
        </w:rPr>
        <w:t xml:space="preserve">ú</w:t>
      </w:r>
      <w:r>
        <w:rPr>
          <w:rFonts w:ascii="Arial" w:cs="Arial"/>
          <w:b/>
          <w:color w:val="000000"/>
          <w:lang w:val="pt-PT"/>
        </w:rPr>
        <w:t xml:space="preserve">ltimo exerc</w:t>
      </w:r>
      <w:r>
        <w:rPr>
          <w:rFonts w:cs="Arial"/>
          <w:b/>
          <w:color w:val="000000"/>
          <w:lang w:val="pt-PT"/>
        </w:rPr>
        <w:t xml:space="preserve">í</w:t>
      </w:r>
      <w:r>
        <w:rPr>
          <w:rFonts w:ascii="Arial" w:cs="Arial"/>
          <w:b/>
          <w:color w:val="000000"/>
          <w:lang w:val="pt-PT"/>
        </w:rPr>
        <w:t xml:space="preserve">cio social.</w:t>
      </w:r>
      <w:r>
        <w:rPr>
          <w:rFonts w:ascii="Arial" w:cs="Arial"/>
          <w:color w:val="000000"/>
        </w:rPr>
        <w:t xml:space="preserve"> </w:t>
      </w:r>
      <w:r>
        <w:rPr>
          <w:rFonts w:ascii="Arial" w:cs="Arial"/>
          <w:color w:val="000000"/>
        </w:rPr>
      </w:r>
    </w:p>
    <w:p w14:paraId="52161E90" w14:textId="77777777">
      <w:pPr>
        <w:pStyle w:val="1316"/>
        <w:pBdr/>
        <w:spacing w:line="276" w:lineRule="auto"/>
        <w:ind w:left="426"/>
        <w:jc w:val="both"/>
        <w:rPr>
          <w:rFonts w:ascii="Arial" w:cs="Arial"/>
          <w:sz w:val="20"/>
          <w:szCs w:val="20"/>
        </w:rPr>
      </w:pPr>
      <w:r>
        <w:rPr>
          <w:rFonts w:ascii="Arial" w:cs="Arial"/>
          <w:sz w:val="20"/>
          <w:szCs w:val="20"/>
        </w:rPr>
      </w:r>
      <w:r>
        <w:rPr>
          <w:rFonts w:ascii="Arial" w:cs="Arial"/>
          <w:sz w:val="20"/>
          <w:szCs w:val="20"/>
        </w:rPr>
      </w:r>
    </w:p>
    <w:p w14:paraId="359F5F2B" w14:textId="77777777">
      <w:pPr>
        <w:pStyle w:val="1316"/>
        <w:pBdr/>
        <w:spacing w:line="276" w:lineRule="auto"/>
        <w:ind w:left="426"/>
        <w:jc w:val="both"/>
        <w:rPr>
          <w:rFonts w:ascii="Arial" w:hAnsi="Arial" w:cs="Arial"/>
          <w:b/>
          <w:sz w:val="20"/>
          <w:szCs w:val="20"/>
        </w:rPr>
      </w:pPr>
      <w:r>
        <w:rPr>
          <w:rFonts w:ascii="Arial" w:hAnsi="Arial" w:cs="Arial"/>
          <w:b/>
          <w:sz w:val="20"/>
          <w:szCs w:val="20"/>
        </w:rPr>
        <w:t xml:space="preserve">13.4.3.4. Índice de Liquidez Geral (LG), com valor igual ou superior a 1,00, onde:</w:t>
      </w:r>
      <w:r>
        <w:rPr>
          <w:rFonts w:ascii="Arial" w:hAnsi="Arial" w:cs="Arial"/>
          <w:b/>
          <w:sz w:val="20"/>
          <w:szCs w:val="20"/>
        </w:rPr>
      </w:r>
    </w:p>
    <w:p w14:paraId="3E12BAD4" w14:textId="77777777">
      <w:pPr>
        <w:pStyle w:val="1316"/>
        <w:pBdr/>
        <w:spacing w:line="276" w:lineRule="auto"/>
        <w:ind w:left="426"/>
        <w:jc w:val="both"/>
        <w:rPr>
          <w:rFonts w:ascii="Arial" w:hAnsi="Arial" w:cs="Arial"/>
          <w:b/>
          <w:sz w:val="20"/>
          <w:szCs w:val="20"/>
        </w:rPr>
      </w:pPr>
      <w:r>
        <w:rPr>
          <w:rFonts w:ascii="Arial" w:hAnsi="Arial" w:cs="Arial"/>
          <w:b/>
          <w:sz w:val="20"/>
          <w:szCs w:val="20"/>
        </w:rPr>
      </w:r>
      <w:r>
        <w:rPr>
          <w:rFonts w:ascii="Arial" w:hAnsi="Arial" w:cs="Arial"/>
          <w:b/>
          <w:sz w:val="20"/>
          <w:szCs w:val="20"/>
        </w:rPr>
      </w:r>
    </w:p>
    <w:p w14:paraId="6F96386B" w14:textId="77777777">
      <w:pPr>
        <w:pStyle w:val="1316"/>
        <w:pBdr/>
        <w:spacing w:line="276" w:lineRule="auto"/>
        <w:ind w:left="426"/>
        <w:jc w:val="both"/>
        <w:rPr>
          <w:rFonts w:ascii="Arial" w:cs="Arial"/>
          <w:sz w:val="20"/>
          <w:szCs w:val="20"/>
        </w:rPr>
      </w:pPr>
      <w:r>
        <w:rPr>
          <w:rFonts w:ascii="Arial" w:cs="Arial"/>
          <w:sz w:val="20"/>
          <w:szCs w:val="20"/>
          <w:lang w:eastAsia="pt-BR"/>
        </w:rPr>
        <mc:AlternateContent>
          <mc:Choice Requires="wpg">
            <w:drawing>
              <wp:inline xmlns:wp="http://schemas.openxmlformats.org/drawingml/2006/wordprocessingDrawing" distT="0" distB="0" distL="0" distR="0">
                <wp:extent cx="2981325" cy="35242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3"/>
                        <pic:cNvPicPr>
                          <a:picLocks noChangeAspect="1"/>
                        </pic:cNvPicPr>
                        <pic:nvPr/>
                      </pic:nvPicPr>
                      <pic:blipFill rotWithShape="1">
                        <a:blip r:embed="rId22">
                          <a:clrChange>
                            <a:clrFrom>
                              <a:srgbClr val="FFFFFF"/>
                            </a:clrFrom>
                            <a:clrTo>
                              <a:srgbClr val="FFFFFF">
                                <a:alpha val="0"/>
                              </a:srgbClr>
                            </a:clrTo>
                          </a:clrChange>
                        </a:blip>
                        <a:stretch/>
                      </pic:blipFill>
                      <pic:spPr bwMode="auto">
                        <a:xfrm>
                          <a:off x="0" y="0"/>
                          <a:ext cx="2981325" cy="35242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234.75pt;height:27.75pt;mso-wrap-distance-left:0.00pt;mso-wrap-distance-top:0.00pt;mso-wrap-distance-right:0.00pt;mso-wrap-distance-bottom:0.00pt;z-index:1;" stroked="f">
                <v:imagedata r:id="rId22" o:title=""/>
                <o:lock v:ext="edit" rotation="t"/>
              </v:shape>
            </w:pict>
          </mc:Fallback>
        </mc:AlternateContent>
      </w:r>
      <w:r>
        <w:rPr>
          <w:rFonts w:ascii="Arial" w:cs="Arial"/>
          <w:sz w:val="20"/>
          <w:szCs w:val="20"/>
        </w:rPr>
      </w:r>
    </w:p>
    <w:p w14:paraId="70FF662A" w14:textId="77777777">
      <w:pPr>
        <w:pStyle w:val="1316"/>
        <w:pBdr/>
        <w:spacing w:line="276" w:lineRule="auto"/>
        <w:ind w:left="426"/>
        <w:jc w:val="both"/>
        <w:rPr>
          <w:rFonts w:ascii="Arial" w:cs="Arial"/>
          <w:sz w:val="20"/>
          <w:szCs w:val="20"/>
        </w:rPr>
      </w:pPr>
      <w:r>
        <w:rPr>
          <w:rFonts w:ascii="Arial" w:cs="Arial"/>
          <w:sz w:val="20"/>
          <w:szCs w:val="20"/>
        </w:rPr>
      </w:r>
      <w:r>
        <w:rPr>
          <w:rFonts w:ascii="Arial" w:cs="Arial"/>
          <w:sz w:val="20"/>
          <w:szCs w:val="20"/>
        </w:rPr>
      </w:r>
    </w:p>
    <w:p w14:paraId="10FF5EDC" w14:textId="77777777">
      <w:pPr>
        <w:pStyle w:val="1316"/>
        <w:pBdr/>
        <w:spacing w:line="276" w:lineRule="auto"/>
        <w:ind w:left="426"/>
        <w:jc w:val="both"/>
        <w:rPr>
          <w:rFonts w:ascii="Arial" w:hAnsi="Arial" w:cs="Arial"/>
          <w:b/>
          <w:sz w:val="20"/>
          <w:szCs w:val="20"/>
        </w:rPr>
      </w:pPr>
      <w:r>
        <w:rPr>
          <w:rFonts w:ascii="Arial" w:hAnsi="Arial" w:cs="Arial"/>
          <w:b/>
          <w:sz w:val="20"/>
          <w:szCs w:val="20"/>
        </w:rPr>
        <w:t xml:space="preserve">13.4.3.5. Índice de Solvência Geral (SG), com valor igual ou superior a 1,00, onde:</w:t>
      </w:r>
      <w:r>
        <w:rPr>
          <w:rFonts w:ascii="Arial" w:hAnsi="Arial" w:cs="Arial"/>
          <w:b/>
          <w:sz w:val="20"/>
          <w:szCs w:val="20"/>
        </w:rPr>
      </w:r>
    </w:p>
    <w:p w14:paraId="2FE6CC4E" w14:textId="77777777">
      <w:pPr>
        <w:pStyle w:val="1316"/>
        <w:pBdr/>
        <w:spacing w:line="276" w:lineRule="auto"/>
        <w:ind w:left="426"/>
        <w:jc w:val="both"/>
        <w:rPr>
          <w:rFonts w:ascii="Arial" w:hAnsi="Arial" w:cs="Arial"/>
          <w:b/>
          <w:sz w:val="20"/>
          <w:szCs w:val="20"/>
        </w:rPr>
      </w:pPr>
      <w:r>
        <w:rPr>
          <w:rFonts w:ascii="Arial" w:hAnsi="Arial" w:cs="Arial"/>
          <w:b/>
          <w:sz w:val="20"/>
          <w:szCs w:val="20"/>
        </w:rPr>
      </w:r>
      <w:r>
        <w:rPr>
          <w:rFonts w:ascii="Arial" w:hAnsi="Arial" w:cs="Arial"/>
          <w:b/>
          <w:sz w:val="20"/>
          <w:szCs w:val="20"/>
        </w:rPr>
      </w:r>
    </w:p>
    <w:p w14:paraId="44389085" w14:textId="77777777">
      <w:pPr>
        <w:pStyle w:val="1316"/>
        <w:pBdr/>
        <w:spacing w:line="276" w:lineRule="auto"/>
        <w:ind w:left="426"/>
        <w:jc w:val="both"/>
        <w:rPr>
          <w:rFonts w:ascii="Arial" w:cs="Arial"/>
          <w:sz w:val="20"/>
          <w:szCs w:val="20"/>
        </w:rPr>
      </w:pPr>
      <w:r>
        <w:rPr>
          <w:rFonts w:ascii="Arial" w:cs="Arial"/>
          <w:sz w:val="20"/>
          <w:szCs w:val="20"/>
          <w:lang w:eastAsia="pt-BR"/>
        </w:rPr>
        <mc:AlternateContent>
          <mc:Choice Requires="wpg">
            <w:drawing>
              <wp:inline xmlns:wp="http://schemas.openxmlformats.org/drawingml/2006/wordprocessingDrawing" distT="0" distB="0" distL="0" distR="0">
                <wp:extent cx="2971800" cy="35242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4"/>
                        <pic:cNvPicPr>
                          <a:picLocks noChangeAspect="1"/>
                        </pic:cNvPicPr>
                        <pic:nvPr/>
                      </pic:nvPicPr>
                      <pic:blipFill rotWithShape="1">
                        <a:blip r:embed="rId23">
                          <a:clrChange>
                            <a:clrFrom>
                              <a:srgbClr val="FFFFFF"/>
                            </a:clrFrom>
                            <a:clrTo>
                              <a:srgbClr val="FFFFFF">
                                <a:alpha val="0"/>
                              </a:srgbClr>
                            </a:clrTo>
                          </a:clrChange>
                        </a:blip>
                        <a:stretch/>
                      </pic:blipFill>
                      <pic:spPr bwMode="auto">
                        <a:xfrm>
                          <a:off x="0" y="0"/>
                          <a:ext cx="2971800" cy="35242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234.00pt;height:27.75pt;mso-wrap-distance-left:0.00pt;mso-wrap-distance-top:0.00pt;mso-wrap-distance-right:0.00pt;mso-wrap-distance-bottom:0.00pt;z-index:1;" stroked="f">
                <v:imagedata r:id="rId23" o:title=""/>
                <o:lock v:ext="edit" rotation="t"/>
              </v:shape>
            </w:pict>
          </mc:Fallback>
        </mc:AlternateContent>
      </w:r>
      <w:r>
        <w:rPr>
          <w:rFonts w:ascii="Arial" w:cs="Arial"/>
          <w:sz w:val="20"/>
          <w:szCs w:val="20"/>
        </w:rPr>
      </w:r>
    </w:p>
    <w:p w14:paraId="490D2365" w14:textId="77777777">
      <w:pPr>
        <w:pStyle w:val="1316"/>
        <w:pBdr/>
        <w:spacing w:line="276" w:lineRule="auto"/>
        <w:ind w:left="426"/>
        <w:jc w:val="both"/>
        <w:rPr>
          <w:rFonts w:ascii="Arial" w:cs="Arial"/>
          <w:sz w:val="20"/>
          <w:szCs w:val="20"/>
        </w:rPr>
      </w:pPr>
      <w:r>
        <w:rPr>
          <w:rFonts w:ascii="Arial" w:cs="Arial"/>
          <w:sz w:val="20"/>
          <w:szCs w:val="20"/>
        </w:rPr>
      </w:r>
      <w:r>
        <w:rPr>
          <w:rFonts w:ascii="Arial" w:cs="Arial"/>
          <w:sz w:val="20"/>
          <w:szCs w:val="20"/>
        </w:rPr>
      </w:r>
    </w:p>
    <w:p w14:paraId="1813B4CF" w14:textId="77777777">
      <w:pPr>
        <w:pStyle w:val="1316"/>
        <w:pBdr/>
        <w:spacing w:line="276" w:lineRule="auto"/>
        <w:ind w:left="426"/>
        <w:jc w:val="both"/>
        <w:rPr>
          <w:rFonts w:ascii="Arial" w:hAnsi="Arial" w:cs="Arial"/>
          <w:b/>
          <w:sz w:val="20"/>
          <w:szCs w:val="20"/>
        </w:rPr>
      </w:pPr>
      <w:r>
        <w:rPr>
          <w:rFonts w:ascii="Arial" w:hAnsi="Arial" w:cs="Arial"/>
          <w:b/>
          <w:sz w:val="20"/>
          <w:szCs w:val="20"/>
        </w:rPr>
        <w:t xml:space="preserve">13.4.3.6. Índice de Liquidez Corrente (LC), com valor igual ou superior a 1,00, onde:</w:t>
      </w:r>
      <w:r>
        <w:rPr>
          <w:rFonts w:ascii="Arial" w:hAnsi="Arial" w:cs="Arial"/>
          <w:b/>
          <w:sz w:val="20"/>
          <w:szCs w:val="20"/>
        </w:rPr>
      </w:r>
    </w:p>
    <w:p w14:paraId="470C17E1" w14:textId="77777777">
      <w:pPr>
        <w:pStyle w:val="1316"/>
        <w:pBdr/>
        <w:spacing w:line="276" w:lineRule="auto"/>
        <w:ind w:left="426"/>
        <w:jc w:val="both"/>
        <w:rPr>
          <w:rFonts w:ascii="Arial" w:hAnsi="Arial" w:cs="Arial"/>
          <w:b/>
          <w:sz w:val="20"/>
          <w:szCs w:val="20"/>
        </w:rPr>
      </w:pPr>
      <w:r>
        <w:rPr>
          <w:rFonts w:ascii="Arial" w:hAnsi="Arial" w:cs="Arial"/>
          <w:b/>
          <w:sz w:val="20"/>
          <w:szCs w:val="20"/>
        </w:rPr>
      </w:r>
      <w:r>
        <w:rPr>
          <w:rFonts w:ascii="Arial" w:hAnsi="Arial" w:cs="Arial"/>
          <w:b/>
          <w:sz w:val="20"/>
          <w:szCs w:val="20"/>
        </w:rPr>
      </w:r>
    </w:p>
    <w:p w14:paraId="35FCF2CC" w14:textId="77777777">
      <w:pPr>
        <w:pStyle w:val="1316"/>
        <w:pBdr/>
        <w:spacing w:line="276" w:lineRule="auto"/>
        <w:ind w:left="426"/>
        <w:jc w:val="both"/>
        <w:rPr>
          <w:rFonts w:ascii="Arial" w:cs="Arial"/>
          <w:sz w:val="20"/>
          <w:szCs w:val="20"/>
        </w:rPr>
      </w:pPr>
      <w:r>
        <w:rPr>
          <w:rFonts w:ascii="Arial" w:cs="Arial"/>
          <w:sz w:val="20"/>
          <w:szCs w:val="20"/>
          <w:lang w:eastAsia="pt-BR"/>
        </w:rPr>
        <mc:AlternateContent>
          <mc:Choice Requires="wpg">
            <w:drawing>
              <wp:inline xmlns:wp="http://schemas.openxmlformats.org/drawingml/2006/wordprocessingDrawing" distT="0" distB="0" distL="0" distR="0">
                <wp:extent cx="1457325" cy="314325"/>
                <wp:effectExtent l="0" t="0" r="9525" b="952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5"/>
                        <pic:cNvPicPr>
                          <a:picLocks noChangeAspect="1"/>
                        </pic:cNvPicPr>
                        <pic:nvPr/>
                      </pic:nvPicPr>
                      <pic:blipFill rotWithShape="1">
                        <a:blip r:embed="rId24">
                          <a:clrChange>
                            <a:clrFrom>
                              <a:srgbClr val="FFFFFF"/>
                            </a:clrFrom>
                            <a:clrTo>
                              <a:srgbClr val="FFFFFF">
                                <a:alpha val="0"/>
                              </a:srgbClr>
                            </a:clrTo>
                          </a:clrChange>
                        </a:blip>
                        <a:stretch/>
                      </pic:blipFill>
                      <pic:spPr bwMode="auto">
                        <a:xfrm>
                          <a:off x="0" y="0"/>
                          <a:ext cx="1457325" cy="31432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14.75pt;height:24.75pt;mso-wrap-distance-left:0.00pt;mso-wrap-distance-top:0.00pt;mso-wrap-distance-right:0.00pt;mso-wrap-distance-bottom:0.00pt;z-index:1;" stroked="f">
                <v:imagedata r:id="rId24" o:title=""/>
                <o:lock v:ext="edit" rotation="t"/>
              </v:shape>
            </w:pict>
          </mc:Fallback>
        </mc:AlternateContent>
      </w:r>
      <w:r>
        <w:rPr>
          <w:rFonts w:ascii="Arial" w:cs="Arial"/>
          <w:sz w:val="20"/>
          <w:szCs w:val="20"/>
        </w:rPr>
      </w:r>
    </w:p>
    <w:p w14:paraId="43FB50B4" w14:textId="77777777">
      <w:pPr>
        <w:pStyle w:val="1316"/>
        <w:pBdr/>
        <w:spacing w:line="276" w:lineRule="auto"/>
        <w:ind w:left="426"/>
        <w:jc w:val="both"/>
        <w:rPr>
          <w:rFonts w:ascii="Arial" w:cs="Arial"/>
        </w:rPr>
      </w:pPr>
      <w:r>
        <w:rPr>
          <w:rFonts w:ascii="Arial" w:cs="Arial"/>
        </w:rPr>
      </w:r>
      <w:r>
        <w:rPr>
          <w:rFonts w:ascii="Arial" w:cs="Arial"/>
        </w:rPr>
      </w:r>
    </w:p>
    <w:p w14:paraId="1B53E601" w14:textId="77777777">
      <w:pPr>
        <w:pBdr/>
        <w:spacing w:line="276" w:lineRule="auto"/>
        <w:ind w:left="426"/>
        <w:jc w:val="both"/>
        <w:rPr>
          <w:rFonts w:ascii="Arial" w:cs="Arial"/>
          <w:color w:val="000000"/>
        </w:rPr>
      </w:pPr>
      <w:r>
        <w:rPr>
          <w:rFonts w:ascii="Arial" w:cs="Arial"/>
          <w:b/>
        </w:rPr>
        <w:t xml:space="preserve">13.4.3.7. </w:t>
      </w:r>
      <w:r>
        <w:rPr>
          <w:rFonts w:ascii="Arial" w:cs="Arial"/>
          <w:color w:val="000000"/>
          <w:lang w:val="pt-PT"/>
        </w:rPr>
        <w:t xml:space="preserve">Todos os quocientes referidos nos itens supracitados (e.1, e.2, e.3) dever</w:t>
      </w:r>
      <w:r>
        <w:rPr>
          <w:rFonts w:cs="Arial"/>
          <w:color w:val="000000"/>
          <w:lang w:val="pt-PT"/>
        </w:rPr>
        <w:t xml:space="preserve">ã</w:t>
      </w:r>
      <w:r>
        <w:rPr>
          <w:rFonts w:ascii="Arial" w:cs="Arial"/>
          <w:color w:val="000000"/>
          <w:lang w:val="pt-PT"/>
        </w:rPr>
        <w:t xml:space="preserve">o ser apresentados, iguais ou superiores a 1 nos </w:t>
      </w:r>
      <w:r>
        <w:rPr>
          <w:rFonts w:cs="Arial"/>
          <w:color w:val="000000"/>
          <w:lang w:val="pt-PT"/>
        </w:rPr>
        <w:t xml:space="preserve">í</w:t>
      </w:r>
      <w:r>
        <w:rPr>
          <w:rFonts w:ascii="Arial" w:cs="Arial"/>
          <w:color w:val="000000"/>
          <w:lang w:val="pt-PT"/>
        </w:rPr>
        <w:t xml:space="preserve">ndices Liquidez Geral, Liquidez Corrente e Solv</w:t>
      </w:r>
      <w:r>
        <w:rPr>
          <w:rFonts w:cs="Arial"/>
          <w:color w:val="000000"/>
          <w:lang w:val="pt-PT"/>
        </w:rPr>
        <w:t xml:space="preserve">ê</w:t>
      </w:r>
      <w:r>
        <w:rPr>
          <w:rFonts w:ascii="Arial" w:cs="Arial"/>
          <w:color w:val="000000"/>
          <w:lang w:val="pt-PT"/>
        </w:rPr>
        <w:t xml:space="preserve">ncia Geral.</w:t>
      </w:r>
      <w:r>
        <w:rPr>
          <w:rFonts w:ascii="Arial" w:cs="Arial"/>
          <w:color w:val="000000"/>
        </w:rPr>
        <w:t xml:space="preserve"> </w:t>
      </w:r>
      <w:r>
        <w:rPr>
          <w:rFonts w:ascii="Arial" w:cs="Arial"/>
          <w:color w:val="000000"/>
        </w:rPr>
      </w:r>
    </w:p>
    <w:p w14:paraId="7CAB7B51" w14:textId="77777777">
      <w:pPr>
        <w:pBdr/>
        <w:spacing w:line="276" w:lineRule="auto"/>
        <w:ind w:left="426"/>
        <w:jc w:val="both"/>
        <w:rPr>
          <w:rFonts w:ascii="Arial" w:cs="Arial"/>
          <w:color w:val="000000"/>
        </w:rPr>
      </w:pPr>
      <w:r>
        <w:rPr>
          <w:rFonts w:ascii="Arial" w:cs="Arial"/>
          <w:color w:val="000000"/>
        </w:rPr>
        <w:t xml:space="preserve">  </w:t>
      </w:r>
      <w:r>
        <w:rPr>
          <w:rFonts w:ascii="Arial" w:cs="Arial"/>
          <w:color w:val="000000"/>
        </w:rPr>
      </w:r>
    </w:p>
    <w:p w14:paraId="59A6D327" w14:textId="77777777">
      <w:pPr>
        <w:pBdr/>
        <w:spacing w:line="276" w:lineRule="auto"/>
        <w:ind w:left="426"/>
        <w:jc w:val="both"/>
        <w:rPr>
          <w:rFonts w:ascii="Arial" w:cs="Arial"/>
          <w:color w:val="000000"/>
        </w:rPr>
      </w:pPr>
      <w:r>
        <w:rPr>
          <w:rFonts w:ascii="Arial" w:cs="Arial"/>
          <w:b/>
        </w:rPr>
        <w:t xml:space="preserve">13.4.3.8. </w:t>
      </w:r>
      <w:r>
        <w:rPr>
          <w:rFonts w:ascii="Arial" w:cs="Arial"/>
          <w:color w:val="000000"/>
          <w:lang w:val="pt-PT"/>
        </w:rPr>
        <w:t xml:space="preserve">Comprova</w:t>
      </w:r>
      <w:r>
        <w:rPr>
          <w:rFonts w:cs="Arial"/>
          <w:color w:val="000000"/>
          <w:lang w:val="pt-PT"/>
        </w:rPr>
        <w:t xml:space="preserve">çã</w:t>
      </w:r>
      <w:r>
        <w:rPr>
          <w:rFonts w:ascii="Arial" w:cs="Arial"/>
          <w:color w:val="000000"/>
          <w:lang w:val="pt-PT"/>
        </w:rPr>
        <w:t xml:space="preserve">o por meio do balan</w:t>
      </w:r>
      <w:r>
        <w:rPr>
          <w:rFonts w:cs="Arial"/>
          <w:color w:val="000000"/>
          <w:lang w:val="pt-PT"/>
        </w:rPr>
        <w:t xml:space="preserve">ç</w:t>
      </w:r>
      <w:r>
        <w:rPr>
          <w:rFonts w:ascii="Arial" w:cs="Arial"/>
          <w:color w:val="000000"/>
          <w:lang w:val="pt-PT"/>
        </w:rPr>
        <w:t xml:space="preserve">o patrimonial de que possui patrim</w:t>
      </w:r>
      <w:r>
        <w:rPr>
          <w:rFonts w:cs="Arial"/>
          <w:color w:val="000000"/>
          <w:lang w:val="pt-PT"/>
        </w:rPr>
        <w:t xml:space="preserve">ô</w:t>
      </w:r>
      <w:r>
        <w:rPr>
          <w:rFonts w:ascii="Arial" w:cs="Arial"/>
          <w:color w:val="000000"/>
          <w:lang w:val="pt-PT"/>
        </w:rPr>
        <w:t xml:space="preserve">nio l</w:t>
      </w:r>
      <w:r>
        <w:rPr>
          <w:rFonts w:cs="Arial"/>
          <w:color w:val="000000"/>
          <w:lang w:val="pt-PT"/>
        </w:rPr>
        <w:t xml:space="preserve">í</w:t>
      </w:r>
      <w:r>
        <w:rPr>
          <w:rFonts w:ascii="Arial" w:cs="Arial"/>
          <w:color w:val="000000"/>
          <w:lang w:val="pt-PT"/>
        </w:rPr>
        <w:t xml:space="preserve">quido m</w:t>
      </w:r>
      <w:r>
        <w:rPr>
          <w:rFonts w:cs="Arial"/>
          <w:color w:val="000000"/>
          <w:lang w:val="pt-PT"/>
        </w:rPr>
        <w:t xml:space="preserve">í</w:t>
      </w:r>
      <w:r>
        <w:rPr>
          <w:rFonts w:ascii="Arial" w:cs="Arial"/>
          <w:color w:val="000000"/>
          <w:lang w:val="pt-PT"/>
        </w:rPr>
        <w:t xml:space="preserve">nimo equivalente a at</w:t>
      </w:r>
      <w:r>
        <w:rPr>
          <w:rFonts w:cs="Arial"/>
          <w:color w:val="000000"/>
          <w:lang w:val="pt-PT"/>
        </w:rPr>
        <w:t xml:space="preserve">é</w:t>
      </w:r>
      <w:r>
        <w:rPr>
          <w:rFonts w:ascii="Arial" w:cs="Arial"/>
          <w:color w:val="000000"/>
          <w:lang w:val="pt-PT"/>
        </w:rPr>
        <w:t xml:space="preserve"> 10% (dez por cento) do valor estimado da contrata</w:t>
      </w:r>
      <w:r>
        <w:rPr>
          <w:rFonts w:cs="Arial"/>
          <w:color w:val="000000"/>
          <w:lang w:val="pt-PT"/>
        </w:rPr>
        <w:t xml:space="preserve">çã</w:t>
      </w:r>
      <w:r>
        <w:rPr>
          <w:rFonts w:ascii="Arial" w:cs="Arial"/>
          <w:color w:val="000000"/>
          <w:lang w:val="pt-PT"/>
        </w:rPr>
        <w:t xml:space="preserve">o.</w:t>
      </w:r>
      <w:r>
        <w:rPr>
          <w:rFonts w:ascii="Arial" w:cs="Arial"/>
          <w:color w:val="000000"/>
        </w:rPr>
        <w:t xml:space="preserve"> </w:t>
      </w:r>
      <w:r>
        <w:rPr>
          <w:rFonts w:ascii="Arial" w:cs="Arial"/>
          <w:color w:val="000000"/>
        </w:rPr>
      </w:r>
    </w:p>
    <w:p w14:paraId="6FFF5B67" w14:textId="77777777">
      <w:pPr>
        <w:pBdr/>
        <w:spacing w:after="100" w:afterAutospacing="1" w:before="100" w:beforeAutospacing="1"/>
        <w:ind w:left="426"/>
        <w:rPr>
          <w:rFonts w:ascii="Arial" w:hAnsi="Arial" w:eastAsia="Times New Roman" w:cs="Arial"/>
        </w:rPr>
      </w:pPr>
      <w:r>
        <w:rPr>
          <w:rFonts w:ascii="Arial" w:hAnsi="Arial" w:eastAsia="Times New Roman" w:cs="Arial"/>
        </w:rPr>
        <w:t xml:space="preserve">Considerando o disposto no </w:t>
      </w:r>
      <w:r>
        <w:rPr>
          <w:rFonts w:ascii="Arial" w:hAnsi="Arial" w:eastAsia="Times New Roman" w:cs="Arial"/>
          <w:b/>
          <w:bCs/>
        </w:rPr>
        <w:t xml:space="preserve">art. 69, §4º, da Lei nº 14.133/2021</w:t>
      </w:r>
      <w:r>
        <w:rPr>
          <w:rFonts w:ascii="Arial" w:hAnsi="Arial" w:eastAsia="Times New Roman" w:cs="Arial"/>
        </w:rPr>
        <w:t xml:space="preserve">, que autoriza a Administração a exigir comprovação de capital ou patrimônio líquido mínimo de até 10% do valor estimado da contratação;</w:t>
      </w:r>
      <w:r>
        <w:rPr>
          <w:rFonts w:ascii="Arial" w:hAnsi="Arial" w:eastAsia="Times New Roman" w:cs="Arial"/>
        </w:rPr>
      </w:r>
    </w:p>
    <w:p w14:paraId="32626F43" w14:textId="49955243">
      <w:pPr>
        <w:pBdr/>
        <w:spacing w:after="100" w:afterAutospacing="1" w:before="100" w:beforeAutospacing="1"/>
        <w:ind w:left="426"/>
        <w:rPr>
          <w:rFonts w:ascii="Arial" w:hAnsi="Arial" w:eastAsia="Times New Roman" w:cs="Arial"/>
        </w:rPr>
      </w:pPr>
      <w:r>
        <w:rPr>
          <w:rFonts w:ascii="Arial" w:hAnsi="Arial" w:eastAsia="Times New Roman" w:cs="Arial"/>
        </w:rPr>
        <w:t xml:space="preserve">Considerando que o objeto trata da </w:t>
      </w:r>
      <w:r>
        <w:rPr>
          <w:rFonts w:ascii="Arial" w:hAnsi="Arial" w:eastAsia="Times New Roman" w:cs="Arial"/>
          <w:b/>
          <w:bCs/>
        </w:rPr>
        <w:t xml:space="preserve">contratação de empresa para gerenciamento informatizado de </w:t>
      </w:r>
      <w:r>
        <w:rPr>
          <w:rFonts w:ascii="Arial" w:hAnsi="Arial" w:eastAsia="Times New Roman" w:cs="Arial"/>
          <w:b/>
          <w:bCs/>
        </w:rPr>
        <w:t xml:space="preserve">cartão kit natalidade</w:t>
      </w:r>
      <w:r>
        <w:rPr>
          <w:rFonts w:ascii="Arial" w:hAnsi="Arial" w:eastAsia="Times New Roman" w:cs="Arial"/>
        </w:rPr>
        <w:t xml:space="preserve">, serviço </w:t>
      </w:r>
      <w:r>
        <w:rPr>
          <w:rFonts w:ascii="Arial" w:hAnsi="Arial" w:eastAsia="Times New Roman" w:cs="Arial"/>
          <w:b/>
          <w:bCs/>
        </w:rPr>
        <w:t xml:space="preserve">contínuo, essencial e de alta responsabilidade operacional</w:t>
      </w:r>
      <w:r>
        <w:rPr>
          <w:rFonts w:ascii="Arial" w:hAnsi="Arial" w:eastAsia="Times New Roman" w:cs="Arial"/>
        </w:rPr>
        <w:t xml:space="preserve">, envolvendo rede credenciada, fluxo financeiro constante e manutenção de sistema em tempo real;</w:t>
      </w:r>
      <w:r>
        <w:rPr>
          <w:rFonts w:ascii="Arial" w:hAnsi="Arial" w:eastAsia="Times New Roman" w:cs="Arial"/>
        </w:rPr>
      </w:r>
    </w:p>
    <w:p w14:paraId="05532619" w14:textId="77777777">
      <w:pPr>
        <w:pBdr/>
        <w:spacing w:after="100" w:afterAutospacing="1" w:before="100" w:beforeAutospacing="1"/>
        <w:ind w:left="426"/>
        <w:rPr>
          <w:rFonts w:ascii="Arial" w:hAnsi="Arial" w:eastAsia="Times New Roman" w:cs="Arial"/>
        </w:rPr>
      </w:pPr>
      <w:r>
        <w:rPr>
          <w:rFonts w:ascii="Arial" w:hAnsi="Arial" w:eastAsia="Times New Roman" w:cs="Arial"/>
        </w:rPr>
        <w:t xml:space="preserve">Justifica-se a exigência de </w:t>
      </w:r>
      <w:r>
        <w:rPr>
          <w:rFonts w:ascii="Arial" w:hAnsi="Arial" w:eastAsia="Times New Roman" w:cs="Arial"/>
          <w:b/>
          <w:bCs/>
        </w:rPr>
        <w:t xml:space="preserve">patrimônio líquido mínimo equivalente a até 10% do valor estimado da contratação</w:t>
      </w:r>
      <w:r>
        <w:rPr>
          <w:rFonts w:ascii="Arial" w:hAnsi="Arial" w:eastAsia="Times New Roman" w:cs="Arial"/>
        </w:rPr>
        <w:t xml:space="preserve">, como forma de assegurar a </w:t>
      </w:r>
      <w:r>
        <w:rPr>
          <w:rFonts w:ascii="Arial" w:hAnsi="Arial" w:eastAsia="Times New Roman" w:cs="Arial"/>
          <w:b/>
          <w:bCs/>
        </w:rPr>
        <w:t xml:space="preserve">capacidade econômico-financeira da contratada</w:t>
      </w:r>
      <w:r>
        <w:rPr>
          <w:rFonts w:ascii="Arial" w:hAnsi="Arial" w:eastAsia="Times New Roman" w:cs="Arial"/>
        </w:rPr>
        <w:t xml:space="preserve">, garantir a </w:t>
      </w:r>
      <w:r>
        <w:rPr>
          <w:rFonts w:ascii="Arial" w:hAnsi="Arial" w:eastAsia="Times New Roman" w:cs="Arial"/>
          <w:b/>
          <w:bCs/>
        </w:rPr>
        <w:t xml:space="preserve">continuidade dos serviços</w:t>
      </w:r>
      <w:r>
        <w:rPr>
          <w:rFonts w:ascii="Arial" w:hAnsi="Arial" w:eastAsia="Times New Roman" w:cs="Arial"/>
        </w:rPr>
        <w:t xml:space="preserve"> e mitigar riscos de inexecução contratual.</w:t>
      </w:r>
      <w:r>
        <w:rPr>
          <w:rFonts w:ascii="Arial" w:hAnsi="Arial" w:eastAsia="Times New Roman" w:cs="Arial"/>
        </w:rPr>
      </w:r>
    </w:p>
    <w:p w14:paraId="61E94EDE" w14:textId="77777777">
      <w:pPr>
        <w:pStyle w:val="1454"/>
        <w:pBdr/>
        <w:spacing/>
        <w:ind w:firstLine="0" w:left="426"/>
        <w:rPr>
          <w:lang w:val="pt-BR"/>
        </w:rPr>
      </w:pPr>
      <w:r>
        <w:rPr>
          <w:rFonts w:cs="Arial"/>
          <w:b/>
          <w:sz w:val="20"/>
          <w:lang w:val="pt-BR"/>
        </w:rPr>
        <w:t xml:space="preserve">13.4.3.9. </w:t>
      </w:r>
      <w:r>
        <w:rPr>
          <w:rFonts w:cs="Arial"/>
          <w:color w:val="000000"/>
          <w:sz w:val="20"/>
          <w:lang w:val="pt-BR"/>
        </w:rPr>
        <w:t xml:space="preserve">Com relação aos índices exigidos e respectivos valores, cabe ressaltar</w:t>
      </w:r>
      <w:r>
        <w:rPr>
          <w:rFonts w:cs="Arial"/>
          <w:color w:val="000000"/>
          <w:sz w:val="20"/>
          <w:lang w:val="pt-BR"/>
        </w:rPr>
        <w:t xml:space="preserve"> tratar-se do mínimo usualmente estabelecido, fixados em patamares que demonstram tanto a liquidez corrente, quanto a geral da empresa, além de sua capacidade de solvência, condições essas que asseguram à Administração a plena execução do objeto contratado</w:t>
      </w:r>
      <w:r>
        <w:rPr>
          <w:rFonts w:cs="Arial"/>
          <w:sz w:val="20"/>
          <w:lang w:val="pt-BR"/>
        </w:rPr>
        <w:t xml:space="preserve"> </w:t>
      </w:r>
      <w:r>
        <w:rPr>
          <w:lang w:val="pt-BR"/>
        </w:rPr>
      </w:r>
    </w:p>
    <w:p w14:paraId="4E8386EB" w14:textId="77777777">
      <w:pPr>
        <w:pStyle w:val="1454"/>
        <w:pBdr/>
        <w:spacing/>
        <w:ind w:firstLine="0" w:left="426"/>
        <w:rPr>
          <w:rFonts w:cs="Arial"/>
          <w:b/>
          <w:szCs w:val="24"/>
          <w:lang w:val="pt-BR"/>
        </w:rPr>
      </w:pPr>
      <w:r>
        <w:rPr>
          <w:rFonts w:cs="Arial"/>
          <w:b/>
          <w:szCs w:val="24"/>
          <w:lang w:val="pt-BR"/>
        </w:rPr>
      </w:r>
      <w:r>
        <w:rPr>
          <w:rFonts w:cs="Arial"/>
          <w:b/>
          <w:szCs w:val="24"/>
          <w:lang w:val="pt-BR"/>
        </w:rPr>
      </w:r>
    </w:p>
    <w:p w14:paraId="26DBD145" w14:textId="77777777">
      <w:pPr>
        <w:pStyle w:val="1424"/>
        <w:pBdr/>
        <w:spacing/>
        <w:ind/>
        <w:jc w:val="both"/>
        <w:rPr/>
      </w:pPr>
      <w:r>
        <w:rPr>
          <w:b/>
          <w:sz w:val="20"/>
          <w:szCs w:val="20"/>
        </w:rPr>
        <w:t xml:space="preserve">13.5. A DOCUMENTAÇÃO RELATIVA À REGULARIDADE FISCAL E TRABALHISTA CONSISTE EM:</w:t>
      </w:r>
      <w:r/>
    </w:p>
    <w:p w14:paraId="59F80D1F" w14:textId="77777777">
      <w:pPr>
        <w:pStyle w:val="1434"/>
        <w:pBdr/>
        <w:spacing/>
        <w:ind w:left="284"/>
        <w:rPr>
          <w:rFonts w:ascii="Arial" w:cs="Arial"/>
          <w:b/>
          <w:sz w:val="20"/>
        </w:rPr>
      </w:pPr>
      <w:r>
        <w:rPr>
          <w:rFonts w:ascii="Arial" w:cs="Arial"/>
          <w:b/>
          <w:sz w:val="20"/>
        </w:rPr>
      </w:r>
      <w:r>
        <w:rPr>
          <w:rFonts w:ascii="Arial" w:cs="Arial"/>
          <w:b/>
          <w:sz w:val="20"/>
        </w:rPr>
      </w:r>
    </w:p>
    <w:p w14:paraId="1C1C3BED" w14:textId="77777777">
      <w:pPr>
        <w:pStyle w:val="1454"/>
        <w:pBdr/>
        <w:spacing/>
        <w:ind w:firstLine="0" w:left="426"/>
        <w:rPr>
          <w:lang w:val="pt-BR"/>
        </w:rPr>
      </w:pPr>
      <w:r>
        <w:rPr>
          <w:rFonts w:cs="Arial"/>
          <w:b/>
          <w:sz w:val="20"/>
          <w:lang w:val="pt-BR"/>
        </w:rPr>
        <w:t xml:space="preserve">13.5.1</w:t>
      </w:r>
      <w:r>
        <w:rPr>
          <w:rFonts w:cs="Arial"/>
          <w:sz w:val="20"/>
          <w:lang w:val="pt-BR"/>
        </w:rPr>
        <w:t xml:space="preserve">. Prova de inscrição no Cadastro Nacional de Pessoas Jurídicas (CNPJ);</w:t>
      </w:r>
      <w:r>
        <w:rPr>
          <w:lang w:val="pt-BR"/>
        </w:rPr>
      </w:r>
    </w:p>
    <w:p w14:paraId="0233A887" w14:textId="77777777">
      <w:pPr>
        <w:pBdr/>
        <w:spacing/>
        <w:ind w:left="284"/>
        <w:jc w:val="both"/>
        <w:rPr>
          <w:rFonts w:ascii="Arial" w:cs="Arial"/>
        </w:rPr>
      </w:pPr>
      <w:r>
        <w:rPr>
          <w:rFonts w:ascii="Arial" w:cs="Arial"/>
        </w:rPr>
      </w:r>
      <w:r>
        <w:rPr>
          <w:rFonts w:ascii="Arial" w:cs="Arial"/>
        </w:rPr>
      </w:r>
    </w:p>
    <w:p w14:paraId="12D4E3B7" w14:textId="77777777">
      <w:pPr>
        <w:pStyle w:val="1454"/>
        <w:pBdr/>
        <w:spacing/>
        <w:ind w:firstLine="0" w:left="426"/>
        <w:rPr>
          <w:lang w:val="pt-BR"/>
        </w:rPr>
      </w:pPr>
      <w:r>
        <w:rPr>
          <w:rFonts w:cs="Arial"/>
          <w:b/>
          <w:sz w:val="20"/>
          <w:lang w:val="pt-BR"/>
        </w:rPr>
        <w:t xml:space="preserve">13.5.2.</w:t>
      </w:r>
      <w:r>
        <w:rPr>
          <w:rFonts w:cs="Arial"/>
          <w:sz w:val="20"/>
          <w:lang w:val="pt-BR"/>
        </w:rPr>
        <w:t xml:space="preserve"> Prova de Inscrição no Cadastro de Contribuinte Estadual, relativo à sede da licitante, pertinente ao seu ramo de atividade e compatível com o objeto do certame.</w:t>
      </w:r>
      <w:r>
        <w:rPr>
          <w:lang w:val="pt-BR"/>
        </w:rPr>
      </w:r>
    </w:p>
    <w:p w14:paraId="0C309E74" w14:textId="77777777">
      <w:pPr>
        <w:pBdr/>
        <w:spacing/>
        <w:ind w:left="284"/>
        <w:jc w:val="both"/>
        <w:rPr>
          <w:rFonts w:ascii="Arial" w:cs="Arial"/>
        </w:rPr>
      </w:pPr>
      <w:r>
        <w:rPr>
          <w:rFonts w:ascii="Arial" w:cs="Arial"/>
        </w:rPr>
      </w:r>
      <w:r>
        <w:rPr>
          <w:rFonts w:ascii="Arial" w:cs="Arial"/>
        </w:rPr>
      </w:r>
    </w:p>
    <w:p w14:paraId="403B90BF" w14:textId="77777777">
      <w:pPr>
        <w:pStyle w:val="1454"/>
        <w:pBdr/>
        <w:spacing/>
        <w:ind w:firstLine="0" w:left="426"/>
        <w:rPr>
          <w:lang w:val="pt-BR"/>
        </w:rPr>
      </w:pPr>
      <w:r>
        <w:rPr>
          <w:rFonts w:cs="Arial"/>
          <w:b/>
          <w:sz w:val="20"/>
          <w:lang w:val="pt-BR"/>
        </w:rPr>
        <w:t xml:space="preserve">13.5.3.</w:t>
      </w:r>
      <w:r>
        <w:rPr>
          <w:rFonts w:cs="Arial"/>
          <w:sz w:val="20"/>
          <w:lang w:val="pt-BR"/>
        </w:rPr>
        <w:t xml:space="preserve"> Certidão Negativa de Débitos exped</w:t>
      </w:r>
      <w:r>
        <w:rPr>
          <w:rFonts w:cs="Arial"/>
          <w:sz w:val="20"/>
          <w:lang w:val="pt-BR"/>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rFonts w:cs="Arial"/>
          <w:sz w:val="20"/>
          <w:lang w:val="pt-BR"/>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lang w:val="pt-BR"/>
        </w:rPr>
      </w:r>
    </w:p>
    <w:p w14:paraId="482CC99A" w14:textId="77777777">
      <w:pPr>
        <w:pBdr/>
        <w:spacing/>
        <w:ind w:left="284"/>
        <w:jc w:val="both"/>
        <w:rPr>
          <w:rFonts w:ascii="Arial" w:cs="Arial"/>
        </w:rPr>
      </w:pPr>
      <w:r>
        <w:rPr>
          <w:rFonts w:ascii="Arial" w:cs="Arial"/>
        </w:rPr>
      </w:r>
      <w:r>
        <w:rPr>
          <w:rFonts w:ascii="Arial" w:cs="Arial"/>
        </w:rPr>
      </w:r>
    </w:p>
    <w:p w14:paraId="793EE718" w14:textId="77777777">
      <w:pPr>
        <w:pStyle w:val="1454"/>
        <w:pBdr/>
        <w:spacing/>
        <w:ind w:firstLine="0" w:left="426"/>
        <w:rPr>
          <w:lang w:val="pt-BR"/>
        </w:rPr>
      </w:pPr>
      <w:r>
        <w:rPr>
          <w:rFonts w:cs="Arial"/>
          <w:b/>
          <w:sz w:val="20"/>
          <w:lang w:val="pt-BR"/>
        </w:rPr>
        <w:t xml:space="preserve">13.5.4.</w:t>
      </w:r>
      <w:r>
        <w:rPr>
          <w:rFonts w:cs="Arial"/>
          <w:sz w:val="20"/>
          <w:lang w:val="pt-BR"/>
        </w:rPr>
        <w:t xml:space="preserve"> Certidão Negativa de Débitos Fiscal com a Fazenda Estadual, emitida pela Agência Fazendária da Secretaria de estado de fazenda do respectivo domicílio tributário;</w:t>
      </w:r>
      <w:r>
        <w:rPr>
          <w:lang w:val="pt-BR"/>
        </w:rPr>
      </w:r>
    </w:p>
    <w:p w14:paraId="7D346EDD" w14:textId="77777777">
      <w:pPr>
        <w:pBdr/>
        <w:spacing/>
        <w:ind w:left="284"/>
        <w:jc w:val="both"/>
        <w:rPr>
          <w:rFonts w:ascii="Arial" w:cs="Arial"/>
        </w:rPr>
      </w:pPr>
      <w:r>
        <w:rPr>
          <w:rFonts w:ascii="Arial" w:cs="Arial"/>
        </w:rPr>
      </w:r>
      <w:r>
        <w:rPr>
          <w:rFonts w:ascii="Arial" w:cs="Arial"/>
        </w:rPr>
      </w:r>
    </w:p>
    <w:p w14:paraId="5F8E0AE5" w14:textId="77777777">
      <w:pPr>
        <w:pStyle w:val="1454"/>
        <w:pBdr/>
        <w:spacing/>
        <w:ind w:firstLine="0" w:left="426"/>
        <w:rPr>
          <w:lang w:val="pt-BR"/>
        </w:rPr>
      </w:pPr>
      <w:r>
        <w:rPr>
          <w:rFonts w:cs="Arial"/>
          <w:b/>
          <w:sz w:val="20"/>
          <w:lang w:val="pt-BR"/>
        </w:rPr>
        <w:t xml:space="preserve">13.5.5.</w:t>
      </w:r>
      <w:r>
        <w:rPr>
          <w:rFonts w:cs="Arial"/>
          <w:sz w:val="20"/>
          <w:lang w:val="pt-BR"/>
        </w:rPr>
        <w:t xml:space="preserve"> Certidão Negativa de Débitos referentes aos tributos municipais, expedida pela Secretaria Municipal da Fazenda ou Finanças do respectivo domicílio tributário;</w:t>
      </w:r>
      <w:r>
        <w:rPr>
          <w:lang w:val="pt-BR"/>
        </w:rPr>
      </w:r>
    </w:p>
    <w:p w14:paraId="6744E1B5" w14:textId="77777777">
      <w:pPr>
        <w:pBdr/>
        <w:spacing/>
        <w:ind w:left="284"/>
        <w:jc w:val="both"/>
        <w:rPr>
          <w:rFonts w:ascii="Arial" w:cs="Arial"/>
        </w:rPr>
      </w:pPr>
      <w:r>
        <w:rPr>
          <w:rFonts w:ascii="Arial" w:cs="Arial"/>
        </w:rPr>
      </w:r>
      <w:r>
        <w:rPr>
          <w:rFonts w:ascii="Arial" w:cs="Arial"/>
        </w:rPr>
      </w:r>
    </w:p>
    <w:p w14:paraId="5893D9E2" w14:textId="77777777">
      <w:pPr>
        <w:pStyle w:val="1454"/>
        <w:pBdr/>
        <w:spacing/>
        <w:ind w:firstLine="0" w:left="426"/>
        <w:rPr>
          <w:lang w:val="pt-BR"/>
        </w:rPr>
      </w:pPr>
      <w:r>
        <w:rPr>
          <w:rFonts w:cs="Arial"/>
          <w:b/>
          <w:sz w:val="20"/>
          <w:lang w:val="pt-BR"/>
        </w:rPr>
        <w:t xml:space="preserve">13.5.6.</w:t>
      </w:r>
      <w:r>
        <w:rPr>
          <w:rFonts w:cs="Arial"/>
          <w:sz w:val="20"/>
          <w:lang w:val="pt-BR"/>
        </w:rPr>
        <w:t xml:space="preserve"> Certificado de Regularidade de Situação para com o Fundo de Garantia de Tempo de Serviço (CRF/FGTS), emitida pela Caixa Econômica Federal;</w:t>
      </w:r>
      <w:r>
        <w:rPr>
          <w:lang w:val="pt-BR"/>
        </w:rPr>
      </w:r>
    </w:p>
    <w:p w14:paraId="3B1A99FB" w14:textId="77777777">
      <w:pPr>
        <w:pBdr/>
        <w:spacing/>
        <w:ind w:left="284"/>
        <w:jc w:val="both"/>
        <w:rPr>
          <w:rFonts w:ascii="Arial" w:cs="Arial"/>
          <w:b/>
        </w:rPr>
      </w:pPr>
      <w:r>
        <w:rPr>
          <w:rFonts w:ascii="Arial" w:cs="Arial"/>
          <w:b/>
        </w:rPr>
      </w:r>
      <w:r>
        <w:rPr>
          <w:rFonts w:ascii="Arial" w:cs="Arial"/>
          <w:b/>
        </w:rPr>
      </w:r>
    </w:p>
    <w:p w14:paraId="0691F4B9" w14:textId="77777777">
      <w:pPr>
        <w:pStyle w:val="1454"/>
        <w:pBdr/>
        <w:spacing/>
        <w:ind w:firstLine="0" w:left="426"/>
        <w:rPr>
          <w:lang w:val="pt-BR"/>
        </w:rPr>
      </w:pPr>
      <w:r>
        <w:rPr>
          <w:rFonts w:cs="Arial"/>
          <w:b/>
          <w:sz w:val="20"/>
          <w:lang w:val="pt-BR"/>
        </w:rPr>
        <w:t xml:space="preserve">13.5.7.</w:t>
      </w:r>
      <w:r>
        <w:rPr>
          <w:rFonts w:cs="Arial"/>
          <w:sz w:val="20"/>
          <w:lang w:val="pt-BR"/>
        </w:rPr>
        <w:t xml:space="preserve"> Certidão Negativa de Debito Trabalhista (CNDT), perante a Justiça do Trabalho, redação dada pela Lei nº 12.440/2011. (Obtida através do site: </w:t>
      </w:r>
      <w:hyperlink r:id="rId25" w:tooltip="http://www.tst.jus.br/" w:history="1">
        <w:r>
          <w:rPr>
            <w:rFonts w:cs="Arial"/>
            <w:sz w:val="20"/>
            <w:lang w:val="pt-BR"/>
          </w:rPr>
          <w:t xml:space="preserve">www.tst.jus.br</w:t>
        </w:r>
      </w:hyperlink>
      <w:r>
        <w:rPr>
          <w:rFonts w:cs="Arial"/>
          <w:sz w:val="20"/>
          <w:lang w:val="pt-BR"/>
        </w:rPr>
        <w:t xml:space="preserve">).</w:t>
      </w:r>
      <w:r>
        <w:rPr>
          <w:lang w:val="pt-BR"/>
        </w:rPr>
      </w:r>
    </w:p>
    <w:p w14:paraId="28661C13" w14:textId="77777777">
      <w:pPr>
        <w:pBdr/>
        <w:spacing/>
        <w:ind w:left="284"/>
        <w:jc w:val="both"/>
        <w:rPr>
          <w:rFonts w:ascii="Arial" w:cs="Arial"/>
          <w:b/>
        </w:rPr>
      </w:pPr>
      <w:r>
        <w:rPr>
          <w:rFonts w:ascii="Arial" w:cs="Arial"/>
          <w:b/>
        </w:rPr>
      </w:r>
      <w:r>
        <w:rPr>
          <w:rFonts w:ascii="Arial" w:cs="Arial"/>
          <w:b/>
        </w:rPr>
      </w:r>
    </w:p>
    <w:p w14:paraId="704FC796" w14:textId="77777777">
      <w:pPr>
        <w:pBdr/>
        <w:spacing/>
        <w:ind w:left="284"/>
        <w:jc w:val="both"/>
        <w:rPr/>
      </w:pPr>
      <w:r>
        <w:rPr>
          <w:rFonts w:ascii="Arial" w:hAnsi="Arial" w:cs="Arial"/>
          <w:b/>
        </w:rPr>
        <w:t xml:space="preserve">Observação:</w:t>
      </w:r>
      <w:r>
        <w:rPr>
          <w:rFonts w:ascii="Arial" w:hAnsi="Arial" w:cs="Arial"/>
        </w:rPr>
        <w:t xml:space="preserve"> As microempresas, empresas de pequeno porte, </w:t>
      </w:r>
      <w:r>
        <w:rPr>
          <w:rFonts w:ascii="Arial" w:hAnsi="Arial" w:cs="Arial"/>
          <w:color w:val="000000"/>
        </w:rPr>
        <w:t xml:space="preserve">e as sociedades cooperativas,</w:t>
      </w:r>
      <w:r>
        <w:rPr>
          <w:rFonts w:ascii="Arial" w:hAnsi="Arial" w:cs="Arial"/>
        </w:rPr>
        <w:t xml:space="preserve"> deverão apresentar toda a documentação exigida para efeito de comprovação de regularidade fiscal</w:t>
      </w:r>
      <w:r>
        <w:rPr>
          <w:rFonts w:ascii="Arial" w:hAnsi="Arial" w:cs="Arial"/>
          <w:color w:val="ff0000"/>
        </w:rPr>
        <w:t xml:space="preserve"> </w:t>
      </w:r>
      <w:r>
        <w:rPr>
          <w:rFonts w:ascii="Arial" w:hAnsi="Arial" w:cs="Arial"/>
        </w:rPr>
        <w:t xml:space="preserve">e trabalhista, mesmo que está apresente alguma restrição. </w:t>
      </w:r>
      <w:r/>
    </w:p>
    <w:p w14:paraId="3FA8B8A8" w14:textId="77777777">
      <w:pPr>
        <w:pBdr/>
        <w:spacing/>
        <w:ind w:left="284"/>
        <w:jc w:val="both"/>
        <w:rPr>
          <w:rFonts w:ascii="Arial" w:cs="Arial"/>
        </w:rPr>
      </w:pPr>
      <w:r>
        <w:rPr>
          <w:rFonts w:ascii="Arial" w:cs="Arial"/>
        </w:rPr>
      </w:r>
      <w:r>
        <w:rPr>
          <w:rFonts w:ascii="Arial" w:cs="Arial"/>
        </w:rPr>
      </w:r>
    </w:p>
    <w:p w14:paraId="46C0E5EA" w14:textId="77777777">
      <w:pPr>
        <w:pBdr/>
        <w:spacing/>
        <w:ind w:left="284"/>
        <w:jc w:val="both"/>
        <w:rPr/>
      </w:pPr>
      <w:r>
        <w:rPr>
          <w:rFonts w:ascii="Arial" w:hAnsi="Arial" w:cs="Arial"/>
          <w:b/>
        </w:rPr>
        <w:t xml:space="preserve">a) </w:t>
      </w:r>
      <w:r>
        <w:rPr>
          <w:rFonts w:ascii="Arial" w:hAnsi="Arial" w:cs="Arial"/>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p>
    <w:p w14:paraId="71411686" w14:textId="77777777">
      <w:pPr>
        <w:pBdr/>
        <w:spacing/>
        <w:ind w:left="284"/>
        <w:jc w:val="both"/>
        <w:rPr>
          <w:rFonts w:ascii="Arial" w:cs="Arial"/>
        </w:rPr>
      </w:pPr>
      <w:r>
        <w:rPr>
          <w:rFonts w:ascii="Arial" w:cs="Arial"/>
        </w:rPr>
      </w:r>
      <w:r>
        <w:rPr>
          <w:rFonts w:ascii="Arial" w:cs="Arial"/>
        </w:rPr>
      </w:r>
    </w:p>
    <w:p w14:paraId="690A0EAF" w14:textId="77777777">
      <w:pPr>
        <w:pBdr/>
        <w:spacing/>
        <w:ind w:left="284"/>
        <w:jc w:val="both"/>
        <w:rPr/>
      </w:pPr>
      <w:r>
        <w:rPr>
          <w:rFonts w:ascii="Arial" w:hAnsi="Arial" w:cs="Arial"/>
          <w:b/>
          <w:color w:val="000000"/>
        </w:rPr>
        <w:t xml:space="preserve">b)</w:t>
      </w:r>
      <w:r>
        <w:rPr>
          <w:rFonts w:ascii="Arial" w:hAnsi="Arial" w:cs="Arial"/>
          <w:color w:val="000000"/>
        </w:rPr>
        <w:t xml:space="preserve"> A prorrogação do prazo prevista na alínea “a”, poderá ser concedida, a critério da administração pública, quando requerida pelo licitante, mediante apresentação de justificativa.</w:t>
      </w:r>
      <w:r/>
    </w:p>
    <w:p w14:paraId="41E24117" w14:textId="77777777">
      <w:pPr>
        <w:pBdr/>
        <w:spacing/>
        <w:ind w:left="284"/>
        <w:jc w:val="both"/>
        <w:rPr>
          <w:rFonts w:ascii="Arial" w:cs="Arial"/>
          <w:color w:val="000000"/>
        </w:rPr>
      </w:pPr>
      <w:r>
        <w:rPr>
          <w:rFonts w:ascii="Arial" w:cs="Arial"/>
          <w:color w:val="000000"/>
        </w:rPr>
      </w:r>
      <w:r>
        <w:rPr>
          <w:rFonts w:ascii="Arial" w:cs="Arial"/>
          <w:color w:val="000000"/>
        </w:rPr>
      </w:r>
    </w:p>
    <w:p w14:paraId="1FE7F051" w14:textId="77777777">
      <w:pPr>
        <w:pStyle w:val="1424"/>
        <w:pBdr/>
        <w:spacing/>
        <w:ind w:left="284"/>
        <w:jc w:val="both"/>
        <w:rPr/>
      </w:pPr>
      <w:r>
        <w:rPr>
          <w:b/>
          <w:sz w:val="19"/>
          <w:szCs w:val="19"/>
        </w:rPr>
        <w:t xml:space="preserve">c)</w:t>
      </w:r>
      <w:r>
        <w:rPr>
          <w:sz w:val="19"/>
          <w:szCs w:val="19"/>
        </w:rPr>
        <w:t xml:space="preserve"> A não regularização da documentação no prazo previsto na alínea “a”, i</w:t>
      </w:r>
      <w:r>
        <w:rPr>
          <w:sz w:val="19"/>
          <w:szCs w:val="19"/>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p>
    <w:p w14:paraId="1FFB088D" w14:textId="77777777">
      <w:pPr>
        <w:pStyle w:val="1424"/>
        <w:pBdr/>
        <w:spacing/>
        <w:ind w:left="284"/>
        <w:jc w:val="both"/>
        <w:rPr>
          <w:sz w:val="20"/>
          <w:szCs w:val="20"/>
        </w:rPr>
      </w:pPr>
      <w:r>
        <w:rPr>
          <w:sz w:val="20"/>
          <w:szCs w:val="20"/>
        </w:rPr>
      </w:r>
      <w:r>
        <w:rPr>
          <w:sz w:val="20"/>
          <w:szCs w:val="20"/>
        </w:rPr>
      </w:r>
    </w:p>
    <w:p w14:paraId="7C83DABE" w14:textId="77777777">
      <w:pPr>
        <w:pStyle w:val="1424"/>
        <w:pBdr/>
        <w:spacing/>
        <w:ind/>
        <w:jc w:val="both"/>
        <w:rPr/>
      </w:pPr>
      <w:r>
        <w:rPr>
          <w:b/>
          <w:sz w:val="20"/>
          <w:szCs w:val="20"/>
        </w:rPr>
        <w:t xml:space="preserve">13.6. DAS COMPROVAÇÕES COMPLEMENTARES ESPECIAIS:</w:t>
      </w:r>
      <w:r/>
    </w:p>
    <w:p w14:paraId="696B9CD6" w14:textId="77777777">
      <w:pPr>
        <w:pBdr/>
        <w:spacing/>
        <w:ind/>
        <w:jc w:val="both"/>
        <w:rPr>
          <w:rFonts w:ascii="Arial" w:cs="Arial"/>
          <w:b/>
          <w:color w:val="000000"/>
        </w:rPr>
      </w:pPr>
      <w:r>
        <w:rPr>
          <w:rFonts w:ascii="Arial" w:cs="Arial"/>
          <w:b/>
          <w:color w:val="000000"/>
        </w:rPr>
      </w:r>
      <w:r>
        <w:rPr>
          <w:rFonts w:ascii="Arial" w:cs="Arial"/>
          <w:b/>
          <w:color w:val="000000"/>
        </w:rPr>
      </w:r>
    </w:p>
    <w:p w14:paraId="606CBAA5" w14:textId="77777777">
      <w:pPr>
        <w:pBdr/>
        <w:spacing/>
        <w:ind w:left="284"/>
        <w:jc w:val="both"/>
        <w:rPr/>
      </w:pPr>
      <w:r>
        <w:rPr>
          <w:rFonts w:ascii="Arial" w:hAnsi="Arial" w:cs="Arial"/>
          <w:b/>
          <w:color w:val="000000"/>
        </w:rPr>
        <w:t xml:space="preserve">13.6.1. O LICITANTE DEVERÁ DECLARAR, QUE:</w:t>
      </w:r>
      <w:r/>
    </w:p>
    <w:p w14:paraId="46414447" w14:textId="77777777">
      <w:pPr>
        <w:pBdr/>
        <w:spacing/>
        <w:ind w:left="284"/>
        <w:jc w:val="both"/>
        <w:rPr>
          <w:rFonts w:ascii="Arial" w:cs="Arial"/>
          <w:color w:val="000000"/>
        </w:rPr>
      </w:pPr>
      <w:r>
        <w:rPr>
          <w:rFonts w:ascii="Arial" w:cs="Arial"/>
          <w:color w:val="000000"/>
        </w:rPr>
      </w:r>
      <w:r>
        <w:rPr>
          <w:rFonts w:ascii="Arial" w:cs="Arial"/>
          <w:color w:val="000000"/>
        </w:rPr>
      </w:r>
    </w:p>
    <w:p w14:paraId="50E526B1" w14:textId="77777777">
      <w:pPr>
        <w:pBdr/>
        <w:spacing/>
        <w:ind w:left="284"/>
        <w:jc w:val="both"/>
        <w:rPr/>
      </w:pPr>
      <w:r>
        <w:rPr>
          <w:rFonts w:ascii="Arial" w:hAnsi="Arial" w:cs="Arial"/>
          <w:b/>
          <w:color w:val="000000"/>
        </w:rPr>
        <w:t xml:space="preserve">13.6.1.1.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cs="Arial"/>
          <w:color w:val="00000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p>
    <w:p w14:paraId="020A3869" w14:textId="77777777">
      <w:pPr>
        <w:pBdr/>
        <w:spacing/>
        <w:ind w:left="284"/>
        <w:jc w:val="both"/>
        <w:rPr>
          <w:rFonts w:ascii="Arial" w:cs="Arial"/>
          <w:b/>
          <w:color w:val="000000"/>
          <w:sz w:val="19"/>
          <w:szCs w:val="19"/>
        </w:rPr>
      </w:pPr>
      <w:r>
        <w:rPr>
          <w:rFonts w:ascii="Arial" w:cs="Arial"/>
          <w:b/>
          <w:color w:val="000000"/>
          <w:sz w:val="19"/>
          <w:szCs w:val="19"/>
        </w:rPr>
      </w:r>
      <w:r>
        <w:rPr>
          <w:rFonts w:ascii="Arial" w:cs="Arial"/>
          <w:b/>
          <w:color w:val="000000"/>
          <w:sz w:val="19"/>
          <w:szCs w:val="19"/>
        </w:rPr>
      </w:r>
    </w:p>
    <w:p w14:paraId="5D22BB08" w14:textId="77777777">
      <w:pPr>
        <w:pBdr/>
        <w:spacing/>
        <w:ind w:left="284"/>
        <w:jc w:val="both"/>
        <w:rPr/>
      </w:pPr>
      <w:r>
        <w:rPr>
          <w:rFonts w:ascii="Arial" w:hAnsi="Arial" w:cs="Arial"/>
          <w:b/>
          <w:color w:val="000000"/>
          <w:sz w:val="19"/>
          <w:szCs w:val="19"/>
        </w:rPr>
        <w:t xml:space="preserve">13.6.1.2.</w:t>
      </w:r>
      <w:r>
        <w:rPr>
          <w:rFonts w:ascii="Arial" w:hAnsi="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26" w:tooltip="https://www.planalto.gov.br/ccivil_03/constituicao/constituicaocompilado.htm#art7" w:anchor="art7" w:history="1">
        <w:r>
          <w:rPr>
            <w:rFonts w:ascii="Arial" w:hAnsi="Arial" w:cs="Arial"/>
            <w:color w:val="000000"/>
            <w:sz w:val="19"/>
            <w:szCs w:val="19"/>
          </w:rPr>
          <w:t xml:space="preserve">artigo 7°, XXXIII da Constituição</w:t>
        </w:r>
      </w:hyperlink>
      <w:r>
        <w:rPr>
          <w:rFonts w:ascii="Arial" w:hAnsi="Arial" w:cs="Arial"/>
          <w:color w:val="000000"/>
          <w:sz w:val="19"/>
          <w:szCs w:val="19"/>
        </w:rPr>
        <w:t xml:space="preserve"> Federal, </w:t>
      </w:r>
      <w:r>
        <w:rPr>
          <w:rFonts w:ascii="Arial" w:hAnsi="Arial" w:cs="Arial"/>
        </w:rPr>
        <w:t xml:space="preserve">bem como, no </w:t>
      </w:r>
      <w:r>
        <w:rPr>
          <w:rFonts w:ascii="Arial" w:hAnsi="Arial" w:cs="Arial"/>
          <w:color w:val="000000"/>
          <w:sz w:val="19"/>
          <w:szCs w:val="19"/>
        </w:rPr>
        <w:t xml:space="preserve">artigo 68, inciso VI, da Lei nº 14.133/2021;</w:t>
      </w:r>
      <w:r/>
    </w:p>
    <w:p w14:paraId="186E062A" w14:textId="77777777">
      <w:pPr>
        <w:pBdr/>
        <w:spacing/>
        <w:ind w:left="284"/>
        <w:jc w:val="both"/>
        <w:rPr>
          <w:rFonts w:ascii="Arial" w:cs="Arial"/>
          <w:color w:val="000000"/>
          <w:sz w:val="19"/>
          <w:szCs w:val="19"/>
        </w:rPr>
      </w:pPr>
      <w:r>
        <w:rPr>
          <w:rFonts w:ascii="Arial" w:cs="Arial"/>
          <w:color w:val="000000"/>
          <w:sz w:val="19"/>
          <w:szCs w:val="19"/>
        </w:rPr>
      </w:r>
      <w:r>
        <w:rPr>
          <w:rFonts w:ascii="Arial" w:cs="Arial"/>
          <w:color w:val="000000"/>
          <w:sz w:val="19"/>
          <w:szCs w:val="19"/>
        </w:rPr>
      </w:r>
    </w:p>
    <w:p w14:paraId="4FEF4516" w14:textId="77777777">
      <w:pPr>
        <w:pBdr/>
        <w:spacing/>
        <w:ind w:left="284"/>
        <w:jc w:val="both"/>
        <w:rPr/>
      </w:pPr>
      <w:r>
        <w:rPr>
          <w:rFonts w:ascii="Arial" w:hAnsi="Arial" w:cs="Arial"/>
          <w:b/>
          <w:color w:val="000000"/>
        </w:rPr>
        <w:t xml:space="preserve">13.6.1.3.</w:t>
      </w:r>
      <w:r>
        <w:rPr>
          <w:rFonts w:ascii="Arial" w:hAnsi="Arial" w:cs="Arial"/>
          <w:color w:val="000000"/>
        </w:rPr>
        <w:t xml:space="preserve"> Não possui empregados executando trabalho degradante ou forçado, observando o disposto nos </w:t>
      </w:r>
      <w:hyperlink r:id="rId27" w:tooltip="https://www.planalto.gov.br/ccivil_03/constituicao/constituicaocompilado.htm" w:history="1">
        <w:r>
          <w:rPr>
            <w:rFonts w:ascii="Arial" w:hAnsi="Arial" w:cs="Arial"/>
            <w:color w:val="000000"/>
          </w:rPr>
          <w:t xml:space="preserve">incisos III e IV do art. 1º e no inciso III do art. 5º da Constituição Federal</w:t>
        </w:r>
      </w:hyperlink>
      <w:r>
        <w:rPr>
          <w:rStyle w:val="892"/>
          <w:rFonts w:ascii="Arial" w:hAnsi="Arial" w:cs="Arial"/>
          <w:color w:val="000000"/>
          <w:u w:val="none"/>
        </w:rPr>
        <w:t xml:space="preserve">, </w:t>
      </w:r>
      <w:r>
        <w:rPr>
          <w:rFonts w:ascii="Arial" w:hAnsi="Arial" w:cs="Arial"/>
        </w:rPr>
        <w:t xml:space="preserve">bem como no art. 14, inciso VI da Lei nº 14.133/2021.</w:t>
      </w:r>
      <w:r/>
    </w:p>
    <w:p w14:paraId="293A2FF1" w14:textId="77777777">
      <w:pPr>
        <w:pBdr/>
        <w:spacing/>
        <w:ind w:left="284"/>
        <w:jc w:val="both"/>
        <w:rPr>
          <w:rFonts w:ascii="Arial" w:cs="Arial"/>
          <w:color w:val="000000"/>
        </w:rPr>
      </w:pPr>
      <w:r>
        <w:rPr>
          <w:rFonts w:ascii="Arial" w:cs="Arial"/>
          <w:color w:val="000000"/>
        </w:rPr>
      </w:r>
      <w:r>
        <w:rPr>
          <w:rFonts w:ascii="Arial" w:cs="Arial"/>
          <w:color w:val="000000"/>
        </w:rPr>
      </w:r>
    </w:p>
    <w:p w14:paraId="384DE6F3" w14:textId="77777777">
      <w:pPr>
        <w:pBdr/>
        <w:spacing/>
        <w:ind w:left="284"/>
        <w:jc w:val="both"/>
        <w:rPr/>
      </w:pPr>
      <w:r>
        <w:rPr>
          <w:rFonts w:ascii="Arial" w:hAnsi="Arial" w:cs="Arial"/>
          <w:b/>
          <w:color w:val="000000"/>
        </w:rPr>
        <w:t xml:space="preserve">13.6.1.4.</w:t>
      </w:r>
      <w:r>
        <w:rPr>
          <w:rFonts w:ascii="Arial" w:hAnsi="Arial" w:cs="Arial"/>
          <w:color w:val="000000"/>
        </w:rPr>
        <w:t xml:space="preserve"> Cumpre as exigências de reserva de cargos para pessoa com deficiência e para reabilitado da Previdência Social, previstas em lei e em outras normas específicas;</w:t>
      </w:r>
      <w:r/>
    </w:p>
    <w:p w14:paraId="1FA1CD2C" w14:textId="77777777">
      <w:pPr>
        <w:pBdr/>
        <w:spacing/>
        <w:ind w:left="284"/>
        <w:jc w:val="both"/>
        <w:rPr>
          <w:rFonts w:ascii="Arial" w:cs="Arial"/>
          <w:color w:val="000000"/>
        </w:rPr>
      </w:pPr>
      <w:r>
        <w:rPr>
          <w:rFonts w:ascii="Arial" w:cs="Arial"/>
          <w:color w:val="000000"/>
        </w:rPr>
      </w:r>
      <w:r>
        <w:rPr>
          <w:rFonts w:ascii="Arial" w:cs="Arial"/>
          <w:color w:val="000000"/>
        </w:rPr>
      </w:r>
    </w:p>
    <w:p w14:paraId="1D48E31C" w14:textId="77777777">
      <w:pPr>
        <w:pBdr/>
        <w:spacing/>
        <w:ind w:left="284"/>
        <w:jc w:val="both"/>
        <w:rPr/>
      </w:pPr>
      <w:r>
        <w:rPr>
          <w:rFonts w:ascii="Arial" w:hAnsi="Arial" w:cs="Arial"/>
          <w:b/>
          <w:color w:val="000000"/>
        </w:rPr>
        <w:t xml:space="preserve">13.6.1.5.</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p>
    <w:p w14:paraId="103D5FA6" w14:textId="77777777">
      <w:pPr>
        <w:pBdr/>
        <w:spacing/>
        <w:ind w:left="284"/>
        <w:jc w:val="both"/>
        <w:rPr>
          <w:rFonts w:ascii="Arial" w:cs="Arial"/>
          <w:color w:val="000000"/>
        </w:rPr>
      </w:pPr>
      <w:r>
        <w:rPr>
          <w:rFonts w:ascii="Arial" w:cs="Arial"/>
          <w:color w:val="000000"/>
        </w:rPr>
      </w:r>
      <w:r>
        <w:rPr>
          <w:rFonts w:ascii="Arial" w:cs="Arial"/>
          <w:color w:val="000000"/>
        </w:rPr>
      </w:r>
    </w:p>
    <w:p w14:paraId="1D8B18CE" w14:textId="77777777">
      <w:pPr>
        <w:pBdr/>
        <w:spacing/>
        <w:ind w:left="284"/>
        <w:jc w:val="both"/>
        <w:rPr/>
      </w:pPr>
      <w:r>
        <w:rPr>
          <w:rFonts w:ascii="Arial" w:hAnsi="Arial" w:cs="Arial"/>
        </w:rPr>
        <w:t xml:space="preserve">13.6.1.6. O licitante enquadrado como microempresa, empresa de pequeno porte ou sociedade cooperativa deverá</w:t>
      </w:r>
      <w:r>
        <w:rPr>
          <w:rFonts w:ascii="Arial" w:hAnsi="Arial" w:cs="Arial"/>
          <w:color w:val="000000"/>
          <w:sz w:val="19"/>
          <w:szCs w:val="19"/>
        </w:rPr>
        <w:t xml:space="preserve"> declarar, que cumpre os requisitos estabelecidos no </w:t>
      </w:r>
      <w:hyperlink r:id="rId28" w:tooltip="https://www.planalto.gov.br/ccivil_03/leis/lcp/lcp123.htm#art3" w:anchor="art3" w:history="1">
        <w:r>
          <w:rPr>
            <w:rFonts w:ascii="Arial" w:hAnsi="Arial" w:cs="Arial"/>
            <w:color w:val="000000"/>
            <w:sz w:val="19"/>
            <w:szCs w:val="19"/>
          </w:rPr>
          <w:t xml:space="preserve">artigo 3° da Lei Complementar nº 123, de 2006</w:t>
        </w:r>
      </w:hyperlink>
      <w:r>
        <w:rPr>
          <w:rFonts w:ascii="Arial" w:hAnsi="Arial" w:cs="Arial"/>
          <w:color w:val="000000"/>
          <w:sz w:val="19"/>
          <w:szCs w:val="19"/>
        </w:rPr>
        <w:t xml:space="preserve">, estando apto a usufruir do tratamento favorecido estabelecido em seus </w:t>
      </w:r>
      <w:hyperlink r:id="rId29" w:tooltip="https://www.planalto.gov.br/ccivil_03/leis/lcp/lcp123.htm#art42" w:anchor="art42" w:history="1">
        <w:r>
          <w:rPr>
            <w:rFonts w:ascii="Arial" w:hAnsi="Arial" w:cs="Arial"/>
            <w:color w:val="000000"/>
            <w:sz w:val="19"/>
            <w:szCs w:val="19"/>
          </w:rPr>
          <w:t xml:space="preserve">arts. 42 a 49</w:t>
        </w:r>
      </w:hyperlink>
      <w:r>
        <w:rPr>
          <w:rFonts w:ascii="Arial" w:hAnsi="Arial" w:cs="Arial"/>
          <w:color w:val="000000"/>
          <w:sz w:val="19"/>
          <w:szCs w:val="19"/>
        </w:rPr>
        <w:t xml:space="preserve">, observado o disposto nos </w:t>
      </w:r>
      <w:hyperlink r:id="rId30" w:tooltip="http://www.planalto.gov.br/ccivil_03/_ato2019-2022/2021/lei/L14133.htm#art4§1" w:anchor="art4§1" w:history="1">
        <w:r>
          <w:rPr>
            <w:rFonts w:ascii="Arial" w:hAnsi="Arial" w:cs="Arial"/>
            <w:color w:val="000000"/>
            <w:sz w:val="19"/>
            <w:szCs w:val="19"/>
          </w:rPr>
          <w:t xml:space="preserve">§§ 1º ao 3º do art. 4º, da Lei n.º 14.133, de 2021;</w:t>
        </w:r>
      </w:hyperlink>
      <w:r/>
      <w:r/>
    </w:p>
    <w:p w14:paraId="7C4364D5" w14:textId="77777777">
      <w:pPr>
        <w:pBdr/>
        <w:spacing/>
        <w:ind w:left="284"/>
        <w:jc w:val="both"/>
        <w:rPr>
          <w:rFonts w:ascii="Arial" w:cs="Arial"/>
          <w:b/>
          <w:color w:val="000000"/>
        </w:rPr>
      </w:pPr>
      <w:r>
        <w:rPr>
          <w:rFonts w:ascii="Arial" w:cs="Arial"/>
          <w:b/>
          <w:color w:val="000000"/>
        </w:rPr>
      </w:r>
      <w:r>
        <w:rPr>
          <w:rFonts w:ascii="Arial" w:cs="Arial"/>
          <w:b/>
          <w:color w:val="000000"/>
        </w:rPr>
      </w:r>
    </w:p>
    <w:p w14:paraId="408042F4" w14:textId="77777777">
      <w:pPr>
        <w:pBdr/>
        <w:spacing/>
        <w:ind w:left="284"/>
        <w:jc w:val="both"/>
        <w:rPr/>
      </w:pPr>
      <w:r>
        <w:rPr>
          <w:rFonts w:ascii="Arial" w:hAnsi="Arial" w:cs="Arial"/>
          <w:b/>
          <w:color w:val="000000"/>
        </w:rPr>
        <w:t xml:space="preserve">13.6.1.7.</w:t>
      </w:r>
      <w:r>
        <w:rPr>
          <w:rFonts w:ascii="Arial" w:hAnsi="Arial" w:cs="Arial"/>
          <w:color w:val="000000"/>
        </w:rPr>
        <w:t xml:space="preserve"> O licitante organizado em cooperativa deverá declarar, ainda que, cumpre os requisitos estabelecidos no </w:t>
      </w:r>
      <w:hyperlink r:id="rId31" w:tooltip="http://www.planalto.gov.br/ccivil_03/_ato2019-2022/2021/lei/L14133.htm#art16" w:anchor="art16" w:history="1">
        <w:r>
          <w:rPr>
            <w:rFonts w:ascii="Arial" w:hAnsi="Arial" w:cs="Arial"/>
            <w:color w:val="000000"/>
          </w:rPr>
          <w:t xml:space="preserve">artigo 16 da Lei nº 14.133, de 2021</w:t>
        </w:r>
      </w:hyperlink>
      <w:r>
        <w:rPr>
          <w:rFonts w:ascii="Arial" w:hAnsi="Arial" w:cs="Arial"/>
          <w:color w:val="000000"/>
        </w:rPr>
        <w:t xml:space="preserve">;</w:t>
      </w:r>
      <w:r/>
    </w:p>
    <w:p w14:paraId="139562FC" w14:textId="77777777">
      <w:pPr>
        <w:pBdr/>
        <w:spacing/>
        <w:ind w:left="284"/>
        <w:jc w:val="both"/>
        <w:rPr>
          <w:rFonts w:ascii="Arial" w:cs="Arial"/>
          <w:color w:val="000000"/>
        </w:rPr>
      </w:pPr>
      <w:r>
        <w:rPr>
          <w:rFonts w:ascii="Arial" w:cs="Arial"/>
          <w:color w:val="000000"/>
        </w:rPr>
      </w:r>
      <w:r>
        <w:rPr>
          <w:rFonts w:ascii="Arial" w:cs="Arial"/>
          <w:color w:val="000000"/>
        </w:rPr>
      </w:r>
    </w:p>
    <w:p w14:paraId="650316F1" w14:textId="77777777">
      <w:pPr>
        <w:pBdr/>
        <w:spacing/>
        <w:ind w:left="284"/>
        <w:jc w:val="both"/>
        <w:rPr/>
      </w:pPr>
      <w:r>
        <w:rPr>
          <w:rFonts w:ascii="Arial" w:hAnsi="Arial" w:cs="Arial"/>
          <w:b/>
          <w:color w:val="000000"/>
        </w:rPr>
        <w:t xml:space="preserve">13.6.1.8. </w:t>
      </w:r>
      <w:r>
        <w:rPr>
          <w:rFonts w:ascii="Arial" w:hAnsi="Arial" w:cs="Arial"/>
          <w:color w:val="000000"/>
        </w:rPr>
        <w:t xml:space="preserve">Que não há sanções vigentes que legalmente proíbam a participante de licitar e/ou contratar com o Órgão/Entidade contratante;</w:t>
      </w:r>
      <w:r/>
    </w:p>
    <w:p w14:paraId="4293FAA3" w14:textId="77777777">
      <w:pPr>
        <w:pBdr/>
        <w:spacing/>
        <w:ind w:left="284"/>
        <w:jc w:val="both"/>
        <w:rPr>
          <w:rFonts w:ascii="Arial" w:cs="Arial"/>
          <w:color w:val="000000"/>
        </w:rPr>
      </w:pPr>
      <w:r>
        <w:rPr>
          <w:rFonts w:ascii="Arial" w:cs="Arial"/>
          <w:color w:val="000000"/>
        </w:rPr>
      </w:r>
      <w:r>
        <w:rPr>
          <w:rFonts w:ascii="Arial" w:cs="Arial"/>
          <w:color w:val="000000"/>
        </w:rPr>
      </w:r>
    </w:p>
    <w:p w14:paraId="420305F3" w14:textId="77777777">
      <w:pPr>
        <w:pBdr/>
        <w:spacing/>
        <w:ind w:left="284"/>
        <w:jc w:val="both"/>
        <w:rPr/>
      </w:pPr>
      <w:r>
        <w:rPr>
          <w:rFonts w:ascii="Arial" w:hAnsi="Arial" w:cs="Arial"/>
          <w:b/>
          <w:color w:val="000000"/>
        </w:rPr>
        <w:t xml:space="preserve">13.6.1.9.</w:t>
      </w:r>
      <w:r>
        <w:rPr>
          <w:rFonts w:ascii="Arial" w:hAnsi="Arial" w:cs="Arial"/>
          <w:color w:val="000000"/>
        </w:rPr>
        <w:t xml:space="preserve"> O declarante </w:t>
      </w:r>
      <w:r>
        <w:rPr>
          <w:rFonts w:ascii="Arial" w:hAnsi="Arial" w:cs="Arial"/>
        </w:rPr>
        <w:t xml:space="preserve">responderá</w:t>
      </w:r>
      <w:r>
        <w:rPr>
          <w:rFonts w:ascii="Arial" w:hAnsi="Arial" w:cs="Arial"/>
          <w:color w:val="000000"/>
        </w:rPr>
        <w:t xml:space="preserve"> pela </w:t>
      </w:r>
      <w:r>
        <w:rPr>
          <w:rFonts w:ascii="Arial" w:hAnsi="Arial" w:cs="Arial"/>
        </w:rPr>
        <w:t xml:space="preserve">veracidade</w:t>
      </w:r>
      <w:r>
        <w:rPr>
          <w:rFonts w:ascii="Arial" w:hAnsi="Arial" w:cs="Arial"/>
          <w:color w:val="000000"/>
        </w:rPr>
        <w:t xml:space="preserve"> das informações prestadas, sujeitando-se às sanções previstas na forma da lei, e neste Edital.</w:t>
      </w:r>
      <w:r/>
    </w:p>
    <w:p w14:paraId="090800BD" w14:textId="77777777">
      <w:pPr>
        <w:pBdr/>
        <w:spacing/>
        <w:ind w:left="851"/>
        <w:jc w:val="both"/>
        <w:rPr/>
      </w:pPr>
      <w:r>
        <w:rPr>
          <w:rFonts w:ascii="Arial" w:hAnsi="Arial" w:cs="Arial"/>
          <w:b/>
          <w:color w:val="000000"/>
        </w:rPr>
        <w:t xml:space="preserve">NOTA: </w:t>
      </w:r>
      <w:r>
        <w:rPr>
          <w:rFonts w:ascii="Arial" w:hAnsi="Arial" w:cs="Arial"/>
        </w:rPr>
        <w:t xml:space="preserve">AS COMPROVAÇÕES</w:t>
      </w:r>
      <w:r>
        <w:rPr>
          <w:rFonts w:ascii="Arial" w:hAnsi="Arial" w:cs="Arial"/>
          <w:b/>
          <w:color w:val="000000"/>
          <w:u w:val="single"/>
        </w:rPr>
        <w:t xml:space="preserve"> CONTIDAS NO ITEM 13.6. A CRITÉRIO DO LICITANTE PODERÃO SEREM APRESENTADAS EM UMA ÚNICA FOLHA, CONFORME MODELO SUGERIDO NO ANEXO V</w:t>
      </w:r>
      <w:r>
        <w:rPr>
          <w:rFonts w:ascii="Arial" w:cs="Arial"/>
          <w:b/>
          <w:color w:val="000000"/>
        </w:rPr>
        <w:t xml:space="preserve">.</w:t>
      </w:r>
      <w:r/>
    </w:p>
    <w:p w14:paraId="131114C0" w14:textId="77777777">
      <w:pPr>
        <w:pBdr/>
        <w:spacing/>
        <w:ind w:left="284"/>
        <w:jc w:val="both"/>
        <w:rPr>
          <w:rFonts w:ascii="Arial" w:cs="Arial"/>
          <w:color w:val="000000"/>
        </w:rPr>
      </w:pPr>
      <w:r>
        <w:rPr>
          <w:rFonts w:ascii="Arial" w:cs="Arial"/>
          <w:color w:val="000000"/>
        </w:rPr>
      </w:r>
      <w:r>
        <w:rPr>
          <w:rFonts w:ascii="Arial" w:cs="Arial"/>
          <w:color w:val="000000"/>
        </w:rPr>
      </w:r>
    </w:p>
    <w:p w14:paraId="1155C52C" w14:textId="77777777">
      <w:pPr>
        <w:pBdr/>
        <w:spacing/>
        <w:ind/>
        <w:jc w:val="both"/>
        <w:rPr/>
      </w:pPr>
      <w:r>
        <w:rPr>
          <w:rFonts w:ascii="Arial" w:hAnsi="Arial" w:cs="Arial"/>
          <w:b/>
        </w:rPr>
        <w:t xml:space="preserve">13.7. DA REALIZAÇÃO DE CONSULTA EM NOME DA LICITANTE E TAMBÉM DE EVENTUAL MATRIZ OU FILIAL E DE SEUS SÓCIOS JUNTO AO:</w:t>
      </w:r>
      <w:r/>
    </w:p>
    <w:p w14:paraId="2279DE09" w14:textId="77777777">
      <w:pPr>
        <w:pBdr/>
        <w:spacing/>
        <w:ind w:left="426"/>
        <w:jc w:val="both"/>
        <w:rPr>
          <w:rFonts w:ascii="Arial" w:cs="Arial"/>
          <w:b/>
        </w:rPr>
      </w:pPr>
      <w:r>
        <w:rPr>
          <w:rFonts w:ascii="Arial" w:cs="Arial"/>
          <w:b/>
        </w:rPr>
      </w:r>
      <w:r>
        <w:rPr>
          <w:rFonts w:ascii="Arial" w:cs="Arial"/>
          <w:b/>
        </w:rPr>
      </w:r>
    </w:p>
    <w:p w14:paraId="3847C9D3" w14:textId="77777777">
      <w:pPr>
        <w:pBdr/>
        <w:spacing/>
        <w:ind w:left="426"/>
        <w:jc w:val="both"/>
        <w:rPr>
          <w:rFonts w:ascii="Arial" w:hAnsi="Arial" w:cs="Arial"/>
        </w:rPr>
      </w:pPr>
      <w:r>
        <w:rPr>
          <w:rFonts w:ascii="Arial" w:hAnsi="Arial" w:cs="Arial"/>
          <w:b/>
        </w:rPr>
        <w:t xml:space="preserve">13.7.1.</w:t>
      </w:r>
      <w:r>
        <w:rPr>
          <w:rFonts w:ascii="Arial" w:hAnsi="Arial" w:cs="Arial"/>
        </w:rPr>
        <w:t xml:space="preserve"> </w:t>
      </w:r>
      <w:r>
        <w:rPr>
          <w:rFonts w:ascii="Arial" w:hAnsi="Arial" w:cs="Arial"/>
          <w:color w:val="000000"/>
        </w:rPr>
        <w:t xml:space="preserve">Cadastro Nacional de Condenações Cíveis por Atos de Improbidade Administrativa, mantido pelo Conselho Nacional de Justiça – CNJ, no endereço eletrônico </w:t>
      </w:r>
      <w:hyperlink r:id="rId32" w:tooltip="http://www.cnj.jus.br/improbidade_adm/consultar_requerido.php" w:history="1">
        <w:r>
          <w:rPr>
            <w:rFonts w:ascii="Arial" w:hAnsi="Arial" w:cs="Arial"/>
            <w:color w:val="2e74b5"/>
            <w:u w:val="single"/>
          </w:rPr>
          <w:t xml:space="preserve">www.cnj.jus.br/improbidade_adm/consultar_requerido.php</w:t>
        </w:r>
      </w:hyperlink>
      <w:r>
        <w:rPr>
          <w:rFonts w:ascii="Arial" w:hAnsi="Arial" w:cs="Arial"/>
          <w:color w:val="000000"/>
        </w:rPr>
        <w:t xml:space="preserve">;</w:t>
      </w:r>
      <w:r>
        <w:rPr>
          <w:rFonts w:ascii="Arial" w:hAnsi="Arial" w:cs="Arial"/>
        </w:rPr>
      </w:r>
    </w:p>
    <w:p w14:paraId="3516733A" w14:textId="77777777">
      <w:pPr>
        <w:pBdr/>
        <w:spacing/>
        <w:ind w:left="426"/>
        <w:jc w:val="both"/>
        <w:rPr>
          <w:rFonts w:ascii="Arial" w:hAnsi="Arial" w:cs="Arial"/>
        </w:rPr>
      </w:pPr>
      <w:r>
        <w:rPr>
          <w:rFonts w:ascii="Arial" w:hAnsi="Arial" w:cs="Arial"/>
        </w:rPr>
      </w:r>
      <w:r>
        <w:rPr>
          <w:rFonts w:ascii="Arial" w:hAnsi="Arial" w:cs="Arial"/>
        </w:rPr>
      </w:r>
    </w:p>
    <w:p w14:paraId="394F4E2A" w14:textId="77777777">
      <w:pPr>
        <w:pBdr/>
        <w:spacing/>
        <w:ind w:left="426"/>
        <w:jc w:val="both"/>
        <w:rPr>
          <w:rFonts w:ascii="Arial" w:hAnsi="Arial" w:cs="Arial"/>
        </w:rPr>
      </w:pPr>
      <w:r>
        <w:rPr>
          <w:rFonts w:ascii="Arial" w:hAnsi="Arial" w:cs="Arial"/>
          <w:b/>
        </w:rPr>
        <w:t xml:space="preserve">13.7.2.</w:t>
      </w:r>
      <w:r>
        <w:rPr>
          <w:rFonts w:ascii="Arial" w:hAnsi="Arial" w:cs="Arial"/>
        </w:rPr>
        <w:t xml:space="preserve"> Cadastro Nacional das Empresas Inidôneas e Suspensas – CEIS, no endereço eletrônico </w:t>
      </w:r>
      <w:hyperlink r:id="rId33" w:tooltip="http://www.portaldatransparencia.gov.br/ceis" w:history="1">
        <w:r>
          <w:rPr>
            <w:rFonts w:ascii="Arial" w:hAnsi="Arial" w:cs="Arial"/>
            <w:color w:val="2e74b5"/>
            <w:u w:val="single"/>
          </w:rPr>
          <w:t xml:space="preserve">www.portaldatransparencia.gov.br/ceis</w:t>
        </w:r>
      </w:hyperlink>
      <w:r>
        <w:rPr>
          <w:rFonts w:ascii="Arial" w:hAnsi="Arial" w:cs="Arial"/>
        </w:rPr>
        <w:t xml:space="preserve">.</w:t>
      </w:r>
      <w:r>
        <w:rPr>
          <w:rFonts w:ascii="Arial" w:hAnsi="Arial" w:cs="Arial"/>
        </w:rPr>
      </w:r>
    </w:p>
    <w:p w14:paraId="32766FC9" w14:textId="77777777">
      <w:pPr>
        <w:pBdr/>
        <w:spacing/>
        <w:ind w:left="426"/>
        <w:jc w:val="both"/>
        <w:rPr>
          <w:rFonts w:ascii="Arial" w:hAnsi="Arial" w:cs="Arial"/>
        </w:rPr>
      </w:pPr>
      <w:r>
        <w:rPr>
          <w:rFonts w:ascii="Arial" w:hAnsi="Arial" w:cs="Arial"/>
        </w:rPr>
      </w:r>
      <w:r>
        <w:rPr>
          <w:rFonts w:ascii="Arial" w:hAnsi="Arial" w:cs="Arial"/>
        </w:rPr>
      </w:r>
    </w:p>
    <w:p w14:paraId="04AB3349" w14:textId="77777777">
      <w:pPr>
        <w:pBdr/>
        <w:spacing/>
        <w:ind w:left="426"/>
        <w:jc w:val="both"/>
        <w:rPr>
          <w:rFonts w:ascii="Arial" w:hAnsi="Arial" w:cs="Arial"/>
        </w:rPr>
      </w:pPr>
      <w:r>
        <w:rPr>
          <w:rFonts w:ascii="Arial" w:hAnsi="Arial" w:cs="Arial"/>
          <w:b/>
        </w:rPr>
        <w:t xml:space="preserve">13.7.3. </w:t>
      </w:r>
      <w:r>
        <w:rPr>
          <w:rFonts w:ascii="Arial" w:hAnsi="Arial" w:cs="Arial"/>
        </w:rPr>
        <w:t xml:space="preserve">No caso dos licitantes Pessoa Jurídica as consultas acima poderão ser substituídas pela Consulta Consolidada de Pessoa Jurídica do TCU, no endereço eletrônico </w:t>
      </w:r>
      <w:hyperlink r:id="rId34" w:tooltip="https://certidoes-apf.apps.tcu.gov.br" w:history="1">
        <w:r>
          <w:rPr>
            <w:rFonts w:ascii="Arial" w:hAnsi="Arial" w:cs="Arial"/>
            <w:color w:val="000000"/>
            <w:u w:val="single"/>
          </w:rPr>
          <w:t xml:space="preserve">https://certidoes-apf.apps.tcu.gov.br</w:t>
        </w:r>
      </w:hyperlink>
      <w:r>
        <w:rPr>
          <w:rFonts w:ascii="Arial" w:hAnsi="Arial" w:cs="Arial"/>
        </w:rPr>
        <w:t xml:space="preserve">.</w:t>
      </w:r>
      <w:r>
        <w:rPr>
          <w:rFonts w:ascii="Arial" w:hAnsi="Arial" w:cs="Arial"/>
        </w:rPr>
      </w:r>
    </w:p>
    <w:p w14:paraId="36DB3303" w14:textId="77777777">
      <w:pPr>
        <w:pBdr/>
        <w:spacing/>
        <w:ind w:left="426"/>
        <w:jc w:val="both"/>
        <w:rPr>
          <w:rFonts w:ascii="Arial" w:hAnsi="Arial" w:cs="Arial"/>
        </w:rPr>
      </w:pPr>
      <w:r>
        <w:rPr>
          <w:rFonts w:ascii="Arial" w:hAnsi="Arial" w:cs="Arial"/>
        </w:rPr>
      </w:r>
      <w:r>
        <w:rPr>
          <w:rFonts w:ascii="Arial" w:hAnsi="Arial" w:cs="Arial"/>
        </w:rPr>
      </w:r>
    </w:p>
    <w:p w14:paraId="1240DC79" w14:textId="77777777">
      <w:pPr>
        <w:pBdr/>
        <w:spacing/>
        <w:ind w:left="426"/>
        <w:jc w:val="both"/>
        <w:rPr>
          <w:rFonts w:ascii="Arial" w:hAnsi="Arial" w:cs="Arial"/>
        </w:rPr>
      </w:pPr>
      <w:r>
        <w:rPr>
          <w:rFonts w:ascii="Arial" w:hAnsi="Arial" w:cs="Arial"/>
          <w:b/>
        </w:rPr>
        <w:t xml:space="preserve">13.7.4. </w:t>
      </w:r>
      <w:r>
        <w:rPr>
          <w:rFonts w:ascii="Arial" w:hAnsi="Arial" w:cs="Arial"/>
        </w:rPr>
        <w:t xml:space="preserve">Cadastro de Empresas Inidôneas e de Pessoas Suspensas de contratar com a Administração Pública do TCE/MT, no endereço eletrônico </w:t>
      </w:r>
      <w:hyperlink r:id="rId35" w:tooltip="https://jurisdicionado.tce.mt.gov.br/conteudo/index/sid/477" w:history="1">
        <w:r>
          <w:rPr>
            <w:rFonts w:ascii="Arial" w:hAnsi="Arial" w:cs="Arial"/>
            <w:color w:val="000000"/>
            <w:u w:val="single"/>
          </w:rPr>
          <w:t xml:space="preserve">https://jurisdicionado.tce.mt.gov.br/conteudo/index/sid/477</w:t>
        </w:r>
      </w:hyperlink>
      <w:r>
        <w:rPr>
          <w:rFonts w:ascii="Arial" w:hAnsi="Arial" w:cs="Arial"/>
        </w:rPr>
        <w:t xml:space="preserve">.</w:t>
      </w:r>
      <w:r>
        <w:rPr>
          <w:rFonts w:ascii="Arial" w:hAnsi="Arial" w:cs="Arial"/>
        </w:rPr>
      </w:r>
    </w:p>
    <w:p w14:paraId="5D56D463" w14:textId="77777777">
      <w:pPr>
        <w:pBdr/>
        <w:spacing/>
        <w:ind w:left="284"/>
        <w:jc w:val="both"/>
        <w:rPr>
          <w:rFonts w:ascii="Arial" w:cs="Arial"/>
          <w:b/>
        </w:rPr>
      </w:pPr>
      <w:r>
        <w:rPr>
          <w:rFonts w:ascii="Arial" w:cs="Arial"/>
          <w:b/>
        </w:rPr>
      </w:r>
      <w:r>
        <w:rPr>
          <w:rFonts w:ascii="Arial" w:cs="Arial"/>
          <w:b/>
        </w:rPr>
      </w:r>
    </w:p>
    <w:p w14:paraId="671ED046" w14:textId="77777777">
      <w:pPr>
        <w:pBdr/>
        <w:spacing/>
        <w:ind/>
        <w:jc w:val="both"/>
        <w:rPr/>
      </w:pPr>
      <w:r>
        <w:rPr>
          <w:rFonts w:ascii="Arial" w:hAnsi="Arial" w:cs="Arial"/>
          <w:b/>
        </w:rPr>
        <w:t xml:space="preserve">13.8. Sob pena de inabilitação, todos os documentos apresentados para habilitação deverão estar em nome da licitante, e, preferencialmente</w:t>
      </w:r>
      <w:r>
        <w:rPr>
          <w:rFonts w:ascii="Arial" w:hAnsi="Arial" w:cs="Arial"/>
        </w:rPr>
        <w:t xml:space="preserve">, com número do CNPJ e com o endereço respectivo: </w:t>
      </w:r>
      <w:r/>
    </w:p>
    <w:p w14:paraId="2429065E" w14:textId="77777777">
      <w:pPr>
        <w:pBdr/>
        <w:spacing/>
        <w:ind w:left="284"/>
        <w:jc w:val="both"/>
        <w:rPr>
          <w:rFonts w:ascii="Arial" w:cs="Arial"/>
          <w:b/>
        </w:rPr>
      </w:pPr>
      <w:r>
        <w:rPr>
          <w:rFonts w:ascii="Arial" w:cs="Arial"/>
          <w:b/>
        </w:rPr>
      </w:r>
      <w:r>
        <w:rPr>
          <w:rFonts w:ascii="Arial" w:cs="Arial"/>
          <w:b/>
        </w:rPr>
      </w:r>
    </w:p>
    <w:p w14:paraId="54E5FE11" w14:textId="77777777">
      <w:pPr>
        <w:pBdr/>
        <w:spacing/>
        <w:ind w:left="426"/>
        <w:jc w:val="both"/>
        <w:rPr/>
      </w:pPr>
      <w:r>
        <w:rPr>
          <w:rFonts w:ascii="Arial" w:hAnsi="Arial" w:cs="Arial"/>
          <w:b/>
        </w:rPr>
        <w:t xml:space="preserve">13.8.1.</w:t>
      </w:r>
      <w:r>
        <w:rPr>
          <w:rFonts w:ascii="Arial" w:hAnsi="Arial" w:cs="Arial"/>
        </w:rPr>
        <w:t xml:space="preserve"> Se a licitante for a matriz, todos os documentos deverão estar em nome da matriz; </w:t>
      </w:r>
      <w:r/>
    </w:p>
    <w:p w14:paraId="1650BBAD" w14:textId="77777777">
      <w:pPr>
        <w:pBdr/>
        <w:spacing/>
        <w:ind w:left="284"/>
        <w:jc w:val="both"/>
        <w:rPr>
          <w:rFonts w:ascii="Arial" w:cs="Arial"/>
          <w:b/>
        </w:rPr>
      </w:pPr>
      <w:r>
        <w:rPr>
          <w:rFonts w:ascii="Arial" w:cs="Arial"/>
          <w:b/>
        </w:rPr>
      </w:r>
      <w:r>
        <w:rPr>
          <w:rFonts w:ascii="Arial" w:cs="Arial"/>
          <w:b/>
        </w:rPr>
      </w:r>
    </w:p>
    <w:p w14:paraId="323CAC19" w14:textId="77777777">
      <w:pPr>
        <w:pBdr/>
        <w:spacing/>
        <w:ind w:left="426"/>
        <w:jc w:val="both"/>
        <w:rPr/>
      </w:pPr>
      <w:r>
        <w:rPr>
          <w:rFonts w:ascii="Arial" w:hAnsi="Arial" w:cs="Arial"/>
          <w:b/>
        </w:rPr>
        <w:t xml:space="preserve">13.8.2.</w:t>
      </w:r>
      <w:r>
        <w:rPr>
          <w:rFonts w:ascii="Arial" w:hAnsi="Arial" w:cs="Arial"/>
        </w:rPr>
        <w:t xml:space="preserve"> Se a licitante for a filial, todos os documentos deverão estar em nome da filial, exceto aqueles </w:t>
      </w:r>
      <w:r>
        <w:rPr>
          <w:rFonts w:ascii="Arial" w:hAnsi="Arial" w:cs="Arial"/>
          <w:b/>
        </w:rPr>
        <w:t xml:space="preserve">documentos</w:t>
      </w:r>
      <w:r>
        <w:rPr>
          <w:rFonts w:ascii="Arial" w:hAnsi="Arial" w:cs="Arial"/>
        </w:rPr>
        <w:t xml:space="preserve"> que, pela própria natureza, comprovadamente, forem emitidos somente em nome da matriz; </w:t>
      </w:r>
      <w:r/>
    </w:p>
    <w:p w14:paraId="5CA30329" w14:textId="77777777">
      <w:pPr>
        <w:pBdr/>
        <w:spacing/>
        <w:ind w:left="284"/>
        <w:jc w:val="both"/>
        <w:rPr>
          <w:rFonts w:ascii="Arial" w:cs="Arial"/>
          <w:b/>
        </w:rPr>
      </w:pPr>
      <w:r>
        <w:rPr>
          <w:rFonts w:ascii="Arial" w:cs="Arial"/>
          <w:b/>
        </w:rPr>
      </w:r>
      <w:r>
        <w:rPr>
          <w:rFonts w:ascii="Arial" w:cs="Arial"/>
          <w:b/>
        </w:rPr>
      </w:r>
    </w:p>
    <w:p w14:paraId="74BD320E" w14:textId="77777777">
      <w:pPr>
        <w:pBdr/>
        <w:spacing/>
        <w:ind/>
        <w:jc w:val="both"/>
        <w:rPr/>
      </w:pPr>
      <w:r>
        <w:rPr>
          <w:rFonts w:ascii="Arial" w:hAnsi="Arial" w:cs="Arial"/>
          <w:b/>
        </w:rPr>
        <w:t xml:space="preserve">13.9.</w:t>
      </w:r>
      <w:r>
        <w:rPr>
          <w:rFonts w:ascii="Arial" w:hAnsi="Arial" w:cs="Arial"/>
        </w:rPr>
        <w:t xml:space="preserve"> Os documentos apresentados para habilitação sem disposição expressa do órgão expedidor quanto a sua validade, terão o </w:t>
      </w:r>
      <w:r>
        <w:rPr>
          <w:rFonts w:ascii="Arial" w:hAnsi="Arial" w:cs="Arial"/>
          <w:b/>
        </w:rPr>
        <w:t xml:space="preserve">prazo de vencimento de 60 (sessenta) dias</w:t>
      </w:r>
      <w:r>
        <w:rPr>
          <w:rFonts w:ascii="Arial" w:hAnsi="Arial" w:cs="Arial"/>
        </w:rPr>
        <w:t xml:space="preserve"> contados a partir de sua data de emissão a data da sessão pública;</w:t>
      </w:r>
      <w:r/>
    </w:p>
    <w:p w14:paraId="19362E16" w14:textId="77777777">
      <w:pPr>
        <w:pBdr/>
        <w:spacing/>
        <w:ind w:left="284"/>
        <w:jc w:val="both"/>
        <w:rPr>
          <w:rFonts w:ascii="Arial" w:cs="Arial"/>
          <w:b/>
        </w:rPr>
      </w:pPr>
      <w:r>
        <w:rPr>
          <w:rFonts w:ascii="Arial" w:cs="Arial"/>
          <w:b/>
        </w:rPr>
      </w:r>
      <w:r>
        <w:rPr>
          <w:rFonts w:ascii="Arial" w:cs="Arial"/>
          <w:b/>
        </w:rPr>
      </w:r>
    </w:p>
    <w:p w14:paraId="4E92C427" w14:textId="77777777">
      <w:pPr>
        <w:pBdr/>
        <w:spacing/>
        <w:ind/>
        <w:jc w:val="both"/>
        <w:rPr/>
      </w:pPr>
      <w:r>
        <w:rPr>
          <w:rFonts w:ascii="Arial" w:hAnsi="Arial" w:cs="Arial"/>
          <w:b/>
        </w:rPr>
        <w:t xml:space="preserve">13.10.</w:t>
      </w:r>
      <w:r>
        <w:rPr>
          <w:rFonts w:ascii="Arial" w:hAnsi="Arial" w:cs="Arial"/>
        </w:rPr>
        <w:t xml:space="preserve"> Poderá ser declarado qualquer fato formal, des</w:t>
      </w:r>
      <w:r>
        <w:rPr>
          <w:rFonts w:ascii="Arial" w:hAnsi="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p>
    <w:p w14:paraId="6F7BF4EA" w14:textId="77777777">
      <w:pPr>
        <w:pBdr/>
        <w:spacing/>
        <w:ind w:left="284"/>
        <w:jc w:val="both"/>
        <w:rPr>
          <w:rFonts w:ascii="Arial" w:cs="Arial"/>
          <w:b/>
        </w:rPr>
      </w:pPr>
      <w:r>
        <w:rPr>
          <w:rFonts w:ascii="Arial" w:cs="Arial"/>
          <w:b/>
        </w:rPr>
      </w:r>
      <w:r>
        <w:rPr>
          <w:rFonts w:ascii="Arial" w:cs="Arial"/>
          <w:b/>
        </w:rPr>
      </w:r>
    </w:p>
    <w:p w14:paraId="016FB2AB" w14:textId="77777777">
      <w:pPr>
        <w:pBdr/>
        <w:spacing/>
        <w:ind/>
        <w:jc w:val="both"/>
        <w:rPr/>
      </w:pPr>
      <w:r>
        <w:rPr>
          <w:rFonts w:ascii="Arial" w:hAnsi="Arial" w:cs="Arial"/>
          <w:b/>
        </w:rPr>
        <w:t xml:space="preserve">13.11.</w:t>
      </w:r>
      <w:r>
        <w:rPr>
          <w:rFonts w:ascii="Arial" w:hAnsi="Arial" w:cs="Arial"/>
        </w:rPr>
        <w:t xml:space="preserve"> A verificação pelo pregoeiro, em sítios eletrônicos oficiais de órgãos e entidades emissores de certidões constitui meio legal de prova, para fins de habilitação;</w:t>
      </w:r>
      <w:r/>
    </w:p>
    <w:p w14:paraId="3525EEC3" w14:textId="77777777">
      <w:pPr>
        <w:pBdr/>
        <w:spacing/>
        <w:ind w:left="284"/>
        <w:jc w:val="both"/>
        <w:rPr>
          <w:rFonts w:ascii="Arial" w:cs="Arial"/>
          <w:b/>
        </w:rPr>
      </w:pPr>
      <w:r>
        <w:rPr>
          <w:rFonts w:ascii="Arial" w:cs="Arial"/>
          <w:b/>
        </w:rPr>
      </w:r>
      <w:r>
        <w:rPr>
          <w:rFonts w:ascii="Arial" w:cs="Arial"/>
          <w:b/>
        </w:rPr>
      </w:r>
    </w:p>
    <w:p w14:paraId="0B4581DD" w14:textId="77777777">
      <w:pPr>
        <w:pBdr/>
        <w:spacing/>
        <w:ind/>
        <w:jc w:val="both"/>
        <w:rPr/>
      </w:pPr>
      <w:r>
        <w:rPr>
          <w:rFonts w:ascii="Arial" w:hAnsi="Arial" w:cs="Arial"/>
          <w:b/>
        </w:rPr>
        <w:t xml:space="preserve">13.12.</w:t>
      </w:r>
      <w:r>
        <w:rPr>
          <w:rFonts w:ascii="Arial" w:hAnsi="Arial" w:cs="Arial"/>
        </w:rPr>
        <w:t xml:space="preserve"> Constatando, por meio de diligência, o não atendimento ao estabelecido, o Pregoeiro considerará a proponente inabilitada e prosseguirá a sessão; </w:t>
      </w:r>
      <w:r/>
    </w:p>
    <w:p w14:paraId="0493C428" w14:textId="77777777">
      <w:pPr>
        <w:pBdr/>
        <w:spacing/>
        <w:ind w:left="284"/>
        <w:jc w:val="both"/>
        <w:rPr>
          <w:rFonts w:ascii="Arial" w:cs="Arial"/>
          <w:b/>
        </w:rPr>
      </w:pPr>
      <w:r>
        <w:rPr>
          <w:rFonts w:ascii="Arial" w:cs="Arial"/>
          <w:b/>
        </w:rPr>
      </w:r>
      <w:r>
        <w:rPr>
          <w:rFonts w:ascii="Arial" w:cs="Arial"/>
          <w:b/>
        </w:rPr>
      </w:r>
    </w:p>
    <w:p w14:paraId="33D8EB97" w14:textId="77777777">
      <w:pPr>
        <w:pBdr/>
        <w:spacing/>
        <w:ind/>
        <w:jc w:val="both"/>
        <w:rPr/>
      </w:pPr>
      <w:r>
        <w:rPr>
          <w:rFonts w:ascii="Arial" w:hAnsi="Arial" w:cs="Arial"/>
          <w:b/>
        </w:rPr>
        <w:t xml:space="preserve">13.13.</w:t>
      </w:r>
      <w:r>
        <w:rPr>
          <w:rFonts w:ascii="Arial" w:hAnsi="Arial" w:cs="Arial"/>
        </w:rPr>
        <w:t xml:space="preserve"> Os atos e os documentos para habilitação, constantes dos arquivos e registros digitais, serão válidos para todos os efeitos legais, inclusive para comprovação e prestação de contas. (Conf. Decreto 10.024 /2019, Art. 8º, § 1º);</w:t>
      </w:r>
      <w:r/>
    </w:p>
    <w:p w14:paraId="23D2D2C4" w14:textId="77777777">
      <w:pPr>
        <w:pBdr/>
        <w:spacing/>
        <w:ind w:left="284"/>
        <w:jc w:val="both"/>
        <w:rPr>
          <w:rFonts w:ascii="Arial" w:cs="Arial"/>
          <w:b/>
        </w:rPr>
      </w:pPr>
      <w:r>
        <w:rPr>
          <w:rFonts w:ascii="Arial" w:cs="Arial"/>
          <w:b/>
        </w:rPr>
      </w:r>
      <w:r>
        <w:rPr>
          <w:rFonts w:ascii="Arial" w:cs="Arial"/>
          <w:b/>
        </w:rPr>
      </w:r>
    </w:p>
    <w:p w14:paraId="69EC6F4C" w14:textId="77777777">
      <w:pPr>
        <w:pBdr/>
        <w:spacing/>
        <w:ind/>
        <w:jc w:val="both"/>
        <w:rPr/>
      </w:pPr>
      <w:r>
        <w:rPr>
          <w:rFonts w:ascii="Arial" w:hAnsi="Arial" w:cs="Arial"/>
          <w:b/>
        </w:rPr>
        <w:t xml:space="preserve">13.14.</w:t>
      </w:r>
      <w:r>
        <w:rPr>
          <w:rFonts w:ascii="Arial" w:hAnsi="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36" w:tooltip="https://www.gov.br/compras/pt-br/acesso-a-informacao/legislacao/instrucoes-normativas/instrucao-normativa-no-3-de-26-de-abril-de-2018#art4" w:anchor="art4" w:history="1">
        <w:r>
          <w:rPr>
            <w:rFonts w:ascii="Arial" w:hAnsi="Arial" w:cs="Arial"/>
            <w:color w:val="000000"/>
            <w:u w:val="single"/>
          </w:rPr>
          <w:t xml:space="preserve">IN nº 3/2018, art. 4º, §1º, e art. 6º, §4º</w:t>
        </w:r>
      </w:hyperlink>
      <w:r>
        <w:rPr>
          <w:rFonts w:ascii="Arial" w:hAnsi="Arial" w:cs="Arial"/>
        </w:rPr>
        <w:t xml:space="preserve">);</w:t>
      </w:r>
      <w:r/>
    </w:p>
    <w:p w14:paraId="2E76A0BF" w14:textId="77777777">
      <w:pPr>
        <w:pBdr/>
        <w:spacing/>
        <w:ind w:left="284"/>
        <w:jc w:val="both"/>
        <w:rPr>
          <w:rFonts w:ascii="Arial" w:cs="Arial"/>
        </w:rPr>
      </w:pPr>
      <w:r>
        <w:rPr>
          <w:rFonts w:ascii="Arial" w:cs="Arial"/>
        </w:rPr>
      </w:r>
      <w:r>
        <w:rPr>
          <w:rFonts w:ascii="Arial" w:cs="Arial"/>
        </w:rPr>
      </w:r>
    </w:p>
    <w:p w14:paraId="1801915C" w14:textId="77777777">
      <w:pPr>
        <w:pBdr/>
        <w:spacing/>
        <w:ind/>
        <w:jc w:val="both"/>
        <w:rPr/>
      </w:pPr>
      <w:r>
        <w:rPr>
          <w:rFonts w:ascii="Arial" w:hAnsi="Arial" w:cs="Arial"/>
          <w:b/>
        </w:rPr>
        <w:t xml:space="preserve">13.15.</w:t>
      </w:r>
      <w:r>
        <w:rPr>
          <w:rFonts w:ascii="Arial" w:hAnsi="Arial" w:cs="Arial"/>
        </w:rPr>
        <w:t xml:space="preserve"> O Pregoeiro reserva-se o direito de solicitar o original de qualquer documento, sempre que tiver dúvida e julgar necessário.</w:t>
      </w:r>
      <w:r/>
    </w:p>
    <w:p w14:paraId="0F324553" w14:textId="77777777">
      <w:pPr>
        <w:pBdr/>
        <w:spacing/>
        <w:ind w:left="284"/>
        <w:jc w:val="both"/>
        <w:rPr>
          <w:rFonts w:ascii="Arial" w:cs="Arial"/>
        </w:rPr>
      </w:pPr>
      <w:r>
        <w:rPr>
          <w:rFonts w:ascii="Arial" w:cs="Arial"/>
        </w:rPr>
      </w:r>
      <w:r>
        <w:rPr>
          <w:rFonts w:ascii="Arial" w:cs="Arial"/>
        </w:rPr>
      </w:r>
    </w:p>
    <w:p w14:paraId="169A3EE5" w14:textId="77777777">
      <w:pPr>
        <w:pStyle w:val="873"/>
        <w:pBdr/>
        <w:spacing w:after="0" w:before="0"/>
        <w:ind/>
        <w:rPr>
          <w:lang w:val="pt-BR"/>
        </w:rPr>
      </w:pPr>
      <w:r/>
      <w:bookmarkStart w:id="47" w:name="_Toc190764803"/>
      <w:r/>
      <w:bookmarkStart w:id="48" w:name="_Toc317"/>
      <w:r>
        <w:rPr>
          <w:sz w:val="20"/>
          <w:lang w:val="pt-BR"/>
        </w:rPr>
        <w:t xml:space="preserve">14. DO ENVIO DE DOCUMENTOS COMPLENTARES QUANDO FOR O CASO:</w:t>
      </w:r>
      <w:bookmarkEnd w:id="47"/>
      <w:r/>
      <w:bookmarkEnd w:id="48"/>
      <w:r/>
      <w:r>
        <w:rPr>
          <w:lang w:val="pt-BR"/>
        </w:rPr>
      </w:r>
    </w:p>
    <w:p w14:paraId="366BA472" w14:textId="77777777">
      <w:pPr>
        <w:pBdr/>
        <w:spacing/>
        <w:ind w:left="284"/>
        <w:jc w:val="both"/>
        <w:rPr>
          <w:rFonts w:ascii="Arial" w:cs="Arial"/>
          <w:b/>
          <w:color w:val="000000"/>
        </w:rPr>
      </w:pPr>
      <w:r>
        <w:rPr>
          <w:rFonts w:ascii="Arial" w:cs="Arial"/>
          <w:b/>
          <w:color w:val="000000"/>
        </w:rPr>
      </w:r>
      <w:r>
        <w:rPr>
          <w:rFonts w:ascii="Arial" w:cs="Arial"/>
          <w:b/>
          <w:color w:val="000000"/>
        </w:rPr>
      </w:r>
    </w:p>
    <w:p w14:paraId="5A90674E" w14:textId="77777777">
      <w:pPr>
        <w:pBdr/>
        <w:spacing/>
        <w:ind/>
        <w:jc w:val="both"/>
        <w:rPr/>
      </w:pPr>
      <w:r>
        <w:rPr>
          <w:rFonts w:ascii="Arial" w:hAnsi="Arial" w:cs="Arial"/>
          <w:b/>
        </w:rPr>
        <w:t xml:space="preserve">14.1. </w:t>
      </w:r>
      <w:r>
        <w:rPr>
          <w:rFonts w:ascii="Arial" w:hAnsi="Arial" w:cs="Arial"/>
        </w:rPr>
        <w:t xml:space="preserve">Na hipótese de necessidade de envio de documentos complementares após o julgamento da proposta, os documentos deverão ser apresentados em formato digital, </w:t>
      </w:r>
      <w:r>
        <w:rPr>
          <w:rFonts w:ascii="Arial" w:hAnsi="Arial" w:cs="Arial"/>
          <w:color w:val="000000"/>
        </w:rPr>
        <w:t xml:space="preserve">via sistema BLL</w:t>
      </w:r>
      <w:r>
        <w:rPr>
          <w:rFonts w:ascii="Arial" w:hAnsi="Arial" w:cs="Arial"/>
        </w:rPr>
        <w:t xml:space="preserve">, no prazo máximo de até 02 (duas) horas, após solicitação do Pregoeiro;</w:t>
      </w:r>
      <w:r/>
    </w:p>
    <w:p w14:paraId="70D7F685" w14:textId="77777777">
      <w:pPr>
        <w:pBdr/>
        <w:spacing/>
        <w:ind w:left="284"/>
        <w:jc w:val="both"/>
        <w:rPr>
          <w:rFonts w:ascii="Arial" w:cs="Arial"/>
          <w:b/>
        </w:rPr>
      </w:pPr>
      <w:r>
        <w:rPr>
          <w:rFonts w:ascii="Arial" w:cs="Arial"/>
          <w:b/>
        </w:rPr>
      </w:r>
      <w:r>
        <w:rPr>
          <w:rFonts w:ascii="Arial" w:cs="Arial"/>
          <w:b/>
        </w:rPr>
      </w:r>
    </w:p>
    <w:p w14:paraId="28194EB2" w14:textId="77777777">
      <w:pPr>
        <w:pBdr/>
        <w:spacing/>
        <w:ind w:left="284"/>
        <w:jc w:val="both"/>
        <w:rPr/>
      </w:pPr>
      <w:r>
        <w:rPr>
          <w:rFonts w:ascii="Arial" w:hAnsi="Arial" w:cs="Arial"/>
          <w:b/>
        </w:rPr>
        <w:t xml:space="preserve">14.1.1. </w:t>
      </w:r>
      <w:r>
        <w:rPr>
          <w:rFonts w:ascii="Arial" w:hAnsi="Arial" w:cs="Arial"/>
        </w:rPr>
        <w:t xml:space="preserve">Os documentos complementares a serem apresentados não poderão ser os já exigidos no edital para fins de habilitação, não se trata de uma segunda oportunidade para envio de documentos de habilitação. A diligência em questão permite, ape</w:t>
      </w:r>
      <w:r>
        <w:rPr>
          <w:rFonts w:ascii="Arial" w:hAnsi="Arial" w:cs="Arial"/>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p>
    <w:p w14:paraId="6DECB83C" w14:textId="77777777">
      <w:pPr>
        <w:pBdr/>
        <w:spacing/>
        <w:ind w:left="284"/>
        <w:jc w:val="both"/>
        <w:rPr>
          <w:rFonts w:ascii="Arial" w:cs="Arial"/>
          <w:color w:val="000000"/>
        </w:rPr>
      </w:pPr>
      <w:r>
        <w:rPr>
          <w:rFonts w:ascii="Arial" w:cs="Arial"/>
          <w:color w:val="000000"/>
        </w:rPr>
      </w:r>
      <w:r>
        <w:rPr>
          <w:rFonts w:ascii="Arial" w:cs="Arial"/>
          <w:color w:val="000000"/>
        </w:rPr>
      </w:r>
    </w:p>
    <w:p w14:paraId="2D64D121" w14:textId="77777777">
      <w:pPr>
        <w:pStyle w:val="873"/>
        <w:pBdr/>
        <w:spacing w:after="0" w:before="0"/>
        <w:ind/>
        <w:rPr>
          <w:lang w:val="pt-BR"/>
        </w:rPr>
      </w:pPr>
      <w:r/>
      <w:bookmarkStart w:id="49" w:name="_Toc190764804"/>
      <w:r/>
      <w:bookmarkStart w:id="50" w:name="_Toc23246"/>
      <w:r>
        <w:rPr>
          <w:sz w:val="20"/>
          <w:lang w:val="pt-BR"/>
        </w:rPr>
        <w:t xml:space="preserve">15. DA ADJUDICAÇÃO E HOMOLOGAÇÃO:</w:t>
      </w:r>
      <w:bookmarkEnd w:id="49"/>
      <w:r/>
      <w:bookmarkEnd w:id="50"/>
      <w:r/>
      <w:r>
        <w:rPr>
          <w:lang w:val="pt-BR"/>
        </w:rPr>
      </w:r>
    </w:p>
    <w:p w14:paraId="0FB7B83B" w14:textId="77777777">
      <w:pPr>
        <w:pBdr/>
        <w:spacing/>
        <w:ind/>
        <w:jc w:val="both"/>
        <w:rPr>
          <w:rFonts w:ascii="Arial" w:cs="Arial"/>
        </w:rPr>
      </w:pPr>
      <w:r>
        <w:rPr>
          <w:rFonts w:ascii="Arial" w:cs="Arial"/>
        </w:rPr>
      </w:r>
      <w:r>
        <w:rPr>
          <w:rFonts w:ascii="Arial" w:cs="Arial"/>
        </w:rPr>
      </w:r>
    </w:p>
    <w:p w14:paraId="16236FBA" w14:textId="77777777">
      <w:pPr>
        <w:pBdr/>
        <w:spacing/>
        <w:ind/>
        <w:jc w:val="both"/>
        <w:rPr/>
      </w:pPr>
      <w:r>
        <w:rPr>
          <w:rFonts w:ascii="Arial" w:hAnsi="Arial" w:cs="Arial"/>
          <w:b/>
        </w:rPr>
        <w:t xml:space="preserve">15.1.</w:t>
      </w:r>
      <w:r>
        <w:rPr>
          <w:rFonts w:ascii="Arial" w:hAnsi="Arial" w:cs="Arial"/>
        </w:rPr>
        <w:t xml:space="preserve"> Não havendo recurso e constatado o atendimento das exigências fixadas neste Edital, a licitante será declarada vencedora do certame, sendo-lhe adjudicado o objeto pela autoridade competente.</w:t>
      </w:r>
      <w:r/>
    </w:p>
    <w:p w14:paraId="6881E033" w14:textId="77777777">
      <w:pPr>
        <w:pBdr/>
        <w:spacing/>
        <w:ind w:left="708"/>
        <w:jc w:val="both"/>
        <w:rPr>
          <w:rFonts w:ascii="Arial" w:cs="Arial"/>
        </w:rPr>
      </w:pPr>
      <w:r>
        <w:rPr>
          <w:rFonts w:ascii="Arial" w:cs="Arial"/>
        </w:rPr>
      </w:r>
      <w:r>
        <w:rPr>
          <w:rFonts w:ascii="Arial" w:cs="Arial"/>
        </w:rPr>
      </w:r>
    </w:p>
    <w:p w14:paraId="5982F61E" w14:textId="77777777">
      <w:pPr>
        <w:pBdr/>
        <w:spacing/>
        <w:ind/>
        <w:jc w:val="both"/>
        <w:rPr/>
      </w:pPr>
      <w:r>
        <w:rPr>
          <w:rFonts w:ascii="Arial" w:hAnsi="Arial" w:cs="Arial"/>
          <w:b/>
        </w:rPr>
        <w:t xml:space="preserve">15.2.</w:t>
      </w:r>
      <w:r>
        <w:rPr>
          <w:rFonts w:ascii="Arial" w:hAnsi="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r/>
    </w:p>
    <w:p w14:paraId="1028C4D4" w14:textId="77777777">
      <w:pPr>
        <w:pBdr/>
        <w:spacing/>
        <w:ind w:left="708"/>
        <w:jc w:val="both"/>
        <w:rPr>
          <w:rFonts w:ascii="Arial" w:cs="Arial"/>
        </w:rPr>
      </w:pPr>
      <w:r>
        <w:rPr>
          <w:rFonts w:ascii="Arial" w:cs="Arial"/>
        </w:rPr>
      </w:r>
      <w:r>
        <w:rPr>
          <w:rFonts w:ascii="Arial" w:cs="Arial"/>
        </w:rPr>
      </w:r>
    </w:p>
    <w:p w14:paraId="0713AA06" w14:textId="77777777">
      <w:pPr>
        <w:pBdr/>
        <w:spacing/>
        <w:ind/>
        <w:jc w:val="both"/>
        <w:rPr/>
      </w:pPr>
      <w:r>
        <w:rPr>
          <w:rFonts w:ascii="Arial" w:hAnsi="Arial" w:cs="Arial"/>
          <w:b/>
        </w:rPr>
        <w:t xml:space="preserve">15.3.</w:t>
      </w:r>
      <w:r>
        <w:rPr>
          <w:rFonts w:ascii="Arial" w:hAnsi="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cs="Arial"/>
          <w:color w:val="000000"/>
          <w:u w:val="single"/>
        </w:rPr>
        <w:t xml:space="preserve">art. 71 da Lei Federal nº 14.133/2021</w:t>
      </w:r>
      <w:r>
        <w:rPr>
          <w:rFonts w:ascii="Arial" w:cs="Arial"/>
        </w:rPr>
        <w:t xml:space="preserve">.</w:t>
      </w:r>
      <w:r/>
    </w:p>
    <w:p w14:paraId="186E53B7" w14:textId="77777777">
      <w:pPr>
        <w:pBdr/>
        <w:spacing/>
        <w:ind w:left="284"/>
        <w:jc w:val="both"/>
        <w:rPr>
          <w:rFonts w:ascii="Arial" w:cs="Arial"/>
        </w:rPr>
      </w:pPr>
      <w:r>
        <w:rPr>
          <w:rFonts w:ascii="Arial" w:cs="Arial"/>
        </w:rPr>
      </w:r>
      <w:r>
        <w:rPr>
          <w:rFonts w:ascii="Arial" w:cs="Arial"/>
        </w:rPr>
      </w:r>
    </w:p>
    <w:p w14:paraId="5B8E5B69" w14:textId="77777777">
      <w:pPr>
        <w:pStyle w:val="873"/>
        <w:pBdr/>
        <w:spacing w:after="0" w:before="0"/>
        <w:ind/>
        <w:rPr>
          <w:lang w:val="pt-BR"/>
        </w:rPr>
      </w:pPr>
      <w:r/>
      <w:bookmarkStart w:id="51" w:name="_Toc28112"/>
      <w:r/>
      <w:bookmarkStart w:id="52" w:name="_Toc190764805"/>
      <w:r>
        <w:rPr>
          <w:sz w:val="20"/>
          <w:lang w:val="pt-BR"/>
        </w:rPr>
        <w:t xml:space="preserve">16. DA ATA DE REGISTRO DE PREÇOS:</w:t>
      </w:r>
      <w:bookmarkEnd w:id="51"/>
      <w:r/>
      <w:bookmarkEnd w:id="52"/>
      <w:r>
        <w:rPr>
          <w:sz w:val="20"/>
          <w:lang w:val="pt-BR"/>
        </w:rPr>
        <w:t xml:space="preserve"> </w:t>
      </w:r>
      <w:r>
        <w:rPr>
          <w:lang w:val="pt-BR"/>
        </w:rPr>
      </w:r>
    </w:p>
    <w:p w14:paraId="7F55B35E" w14:textId="77777777">
      <w:pPr>
        <w:pBdr/>
        <w:spacing/>
        <w:ind/>
        <w:rPr>
          <w:rFonts w:ascii="Arial" w:cs="Arial"/>
          <w:b/>
        </w:rPr>
      </w:pPr>
      <w:r>
        <w:rPr>
          <w:rFonts w:ascii="Arial" w:cs="Arial"/>
          <w:b/>
        </w:rPr>
      </w:r>
      <w:r>
        <w:rPr>
          <w:rFonts w:ascii="Arial" w:cs="Arial"/>
          <w:b/>
        </w:rPr>
      </w:r>
    </w:p>
    <w:p w14:paraId="15CF1064" w14:textId="77777777">
      <w:pPr>
        <w:pBdr/>
        <w:spacing/>
        <w:ind/>
        <w:jc w:val="both"/>
        <w:rPr/>
      </w:pPr>
      <w:r>
        <w:rPr>
          <w:rFonts w:ascii="Arial" w:hAnsi="Arial" w:cs="Arial"/>
          <w:b/>
        </w:rPr>
        <w:t xml:space="preserve">16.1.</w:t>
      </w:r>
      <w:r>
        <w:rPr>
          <w:rFonts w:ascii="Arial" w:hAnsi="Arial" w:cs="Arial"/>
        </w:rPr>
        <w:t xml:space="preserve"> Homologado o resultado da licitação, o licitante melhor classificado terá o prazo de 05 (cin</w:t>
      </w:r>
      <w:r>
        <w:rPr>
          <w:rFonts w:ascii="Arial" w:hAnsi="Arial" w:cs="Arial"/>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p>
    <w:p w14:paraId="43B48DE4" w14:textId="77777777">
      <w:pPr>
        <w:pBdr/>
        <w:spacing/>
        <w:ind w:left="284"/>
        <w:jc w:val="both"/>
        <w:rPr>
          <w:rFonts w:ascii="Arial" w:cs="Arial"/>
        </w:rPr>
      </w:pPr>
      <w:r>
        <w:rPr>
          <w:rFonts w:ascii="Arial" w:cs="Arial"/>
        </w:rPr>
      </w:r>
      <w:r>
        <w:rPr>
          <w:rFonts w:ascii="Arial" w:cs="Arial"/>
        </w:rPr>
      </w:r>
    </w:p>
    <w:p w14:paraId="00B43B33" w14:textId="77777777">
      <w:pPr>
        <w:pBdr/>
        <w:spacing/>
        <w:ind/>
        <w:jc w:val="both"/>
        <w:rPr/>
      </w:pPr>
      <w:r>
        <w:rPr>
          <w:rFonts w:ascii="Arial" w:hAnsi="Arial" w:cs="Arial"/>
          <w:b/>
        </w:rPr>
        <w:t xml:space="preserve">16.2.</w:t>
      </w:r>
      <w:r>
        <w:rPr>
          <w:rFonts w:ascii="Arial" w:hAnsi="Arial" w:cs="Arial"/>
        </w:rPr>
        <w:t xml:space="preserve"> Alternativamente à convocação para comparecer perante o órgão ou entidade para a assinat</w:t>
      </w:r>
      <w:r>
        <w:rPr>
          <w:rFonts w:ascii="Arial" w:hAnsi="Arial" w:cs="Arial"/>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p>
    <w:p w14:paraId="1D4FBF10" w14:textId="77777777">
      <w:pPr>
        <w:pBdr/>
        <w:spacing/>
        <w:ind w:left="284"/>
        <w:jc w:val="both"/>
        <w:rPr>
          <w:rFonts w:ascii="Arial" w:cs="Arial"/>
          <w:b/>
        </w:rPr>
      </w:pPr>
      <w:r>
        <w:rPr>
          <w:rFonts w:ascii="Arial" w:cs="Arial"/>
          <w:b/>
        </w:rPr>
      </w:r>
      <w:r>
        <w:rPr>
          <w:rFonts w:ascii="Arial" w:cs="Arial"/>
          <w:b/>
        </w:rPr>
      </w:r>
    </w:p>
    <w:p w14:paraId="176190BF" w14:textId="77777777">
      <w:pPr>
        <w:pBdr/>
        <w:spacing/>
        <w:ind/>
        <w:jc w:val="both"/>
        <w:rPr/>
      </w:pPr>
      <w:r>
        <w:rPr>
          <w:rFonts w:ascii="Arial" w:hAnsi="Arial" w:cs="Arial"/>
          <w:b/>
        </w:rPr>
        <w:t xml:space="preserve">16.3.</w:t>
      </w:r>
      <w:r>
        <w:rPr>
          <w:rFonts w:ascii="Arial" w:hAnsi="Arial" w:cs="Arial"/>
        </w:rPr>
        <w:t xml:space="preserve"> O prazo de convocação poderá ser prorrogado uma vez, por igual período, mediante solicitação do licitante melhor classificado ou do fornecedor convocado, desde que:</w:t>
      </w:r>
      <w:r/>
    </w:p>
    <w:p w14:paraId="14FABCC1" w14:textId="77777777">
      <w:pPr>
        <w:pBdr/>
        <w:spacing/>
        <w:ind w:left="284"/>
        <w:jc w:val="both"/>
        <w:rPr>
          <w:rFonts w:ascii="Arial" w:cs="Arial"/>
        </w:rPr>
      </w:pPr>
      <w:r>
        <w:rPr>
          <w:rFonts w:ascii="Arial" w:cs="Arial"/>
        </w:rPr>
      </w:r>
      <w:r>
        <w:rPr>
          <w:rFonts w:ascii="Arial" w:cs="Arial"/>
        </w:rPr>
      </w:r>
    </w:p>
    <w:p w14:paraId="7227ED46" w14:textId="77777777">
      <w:pPr>
        <w:pBdr/>
        <w:spacing/>
        <w:ind w:left="284"/>
        <w:jc w:val="both"/>
        <w:rPr/>
      </w:pPr>
      <w:r>
        <w:rPr>
          <w:rFonts w:ascii="Arial" w:hAnsi="Arial" w:cs="Arial"/>
          <w:b/>
        </w:rPr>
        <w:t xml:space="preserve">16.3.1. </w:t>
      </w:r>
      <w:r>
        <w:rPr>
          <w:rFonts w:ascii="Arial" w:hAnsi="Arial" w:cs="Arial"/>
        </w:rPr>
        <w:t xml:space="preserve">A solicitação seja devidamente justificada e apresentada dentro do prazo; e</w:t>
      </w:r>
      <w:r/>
    </w:p>
    <w:p w14:paraId="00C67E9F" w14:textId="77777777">
      <w:pPr>
        <w:pBdr/>
        <w:spacing/>
        <w:ind w:left="284"/>
        <w:jc w:val="both"/>
        <w:rPr>
          <w:rFonts w:ascii="Arial" w:cs="Arial"/>
        </w:rPr>
      </w:pPr>
      <w:r>
        <w:rPr>
          <w:rFonts w:ascii="Arial" w:cs="Arial"/>
        </w:rPr>
      </w:r>
      <w:r>
        <w:rPr>
          <w:rFonts w:ascii="Arial" w:cs="Arial"/>
        </w:rPr>
      </w:r>
    </w:p>
    <w:p w14:paraId="59F45015" w14:textId="77777777">
      <w:pPr>
        <w:pBdr/>
        <w:spacing/>
        <w:ind w:left="284"/>
        <w:jc w:val="both"/>
        <w:rPr/>
      </w:pPr>
      <w:r>
        <w:rPr>
          <w:rFonts w:ascii="Arial" w:hAnsi="Arial" w:cs="Arial"/>
          <w:b/>
        </w:rPr>
        <w:t xml:space="preserve">16.3.1. </w:t>
      </w:r>
      <w:r>
        <w:rPr>
          <w:rFonts w:ascii="Arial" w:hAnsi="Arial" w:cs="Arial"/>
        </w:rPr>
        <w:t xml:space="preserve">A justificativa apresentada seja aceita pela Administração;</w:t>
      </w:r>
      <w:r/>
    </w:p>
    <w:p w14:paraId="0CB129EC" w14:textId="77777777">
      <w:pPr>
        <w:pBdr/>
        <w:spacing/>
        <w:ind w:left="284"/>
        <w:jc w:val="both"/>
        <w:rPr>
          <w:rFonts w:ascii="Arial" w:cs="Arial"/>
        </w:rPr>
      </w:pPr>
      <w:r>
        <w:rPr>
          <w:rFonts w:ascii="Arial" w:cs="Arial"/>
        </w:rPr>
      </w:r>
      <w:r>
        <w:rPr>
          <w:rFonts w:ascii="Arial" w:cs="Arial"/>
        </w:rPr>
      </w:r>
    </w:p>
    <w:p w14:paraId="03A1FE15" w14:textId="77777777">
      <w:pPr>
        <w:pBdr/>
        <w:spacing/>
        <w:ind/>
        <w:jc w:val="both"/>
        <w:rPr/>
      </w:pPr>
      <w:r>
        <w:rPr>
          <w:rFonts w:ascii="Arial" w:hAnsi="Arial" w:cs="Arial"/>
          <w:b/>
        </w:rPr>
        <w:t xml:space="preserve">16.4.</w:t>
      </w:r>
      <w:r>
        <w:rPr>
          <w:rFonts w:ascii="Arial" w:hAnsi="Arial" w:cs="Arial"/>
        </w:rPr>
        <w:t xml:space="preserve"> A ata de registro de preços será assinada por meio de assinatura digital e disponibilizada no sistema de registro de preços;</w:t>
      </w:r>
      <w:r/>
    </w:p>
    <w:p w14:paraId="789D19B5" w14:textId="77777777">
      <w:pPr>
        <w:pBdr/>
        <w:spacing/>
        <w:ind w:left="284"/>
        <w:jc w:val="both"/>
        <w:rPr>
          <w:rFonts w:ascii="Arial" w:cs="Arial"/>
        </w:rPr>
      </w:pPr>
      <w:r>
        <w:rPr>
          <w:rFonts w:ascii="Arial" w:cs="Arial"/>
        </w:rPr>
      </w:r>
      <w:r>
        <w:rPr>
          <w:rFonts w:ascii="Arial" w:cs="Arial"/>
        </w:rPr>
      </w:r>
    </w:p>
    <w:p w14:paraId="3DF029CB" w14:textId="77777777">
      <w:pPr>
        <w:pBdr/>
        <w:spacing/>
        <w:ind/>
        <w:jc w:val="both"/>
        <w:rPr/>
      </w:pPr>
      <w:r>
        <w:rPr>
          <w:rFonts w:ascii="Arial" w:hAnsi="Arial" w:cs="Arial"/>
          <w:b/>
        </w:rPr>
        <w:t xml:space="preserve">16.5.</w:t>
      </w:r>
      <w:r>
        <w:rPr>
          <w:rFonts w:ascii="Arial" w:hAnsi="Arial" w:cs="Arial"/>
        </w:rPr>
        <w:t xml:space="preserve"> Serão formalizadas tantas</w:t>
      </w:r>
      <w:r>
        <w:rPr>
          <w:rFonts w:ascii="Arial" w:hAnsi="Arial" w:cs="Arial"/>
        </w:rPr>
        <w:t xml:space="preserve"> Atas de Registro de Preços quantas forem necessárias para o registro de todos os itens constantes no Termo de Referência, com a indicação do licitante vencedor, a descrição do(s) item(ns), as respectivas quantidades, preços registrados e demais condições;</w:t>
      </w:r>
      <w:r/>
    </w:p>
    <w:p w14:paraId="41802018" w14:textId="77777777">
      <w:pPr>
        <w:pBdr/>
        <w:spacing/>
        <w:ind w:left="284"/>
        <w:jc w:val="both"/>
        <w:rPr>
          <w:rFonts w:ascii="Arial" w:cs="Arial"/>
        </w:rPr>
      </w:pPr>
      <w:r>
        <w:rPr>
          <w:rFonts w:ascii="Arial" w:cs="Arial"/>
        </w:rPr>
      </w:r>
      <w:r>
        <w:rPr>
          <w:rFonts w:ascii="Arial" w:cs="Arial"/>
        </w:rPr>
      </w:r>
    </w:p>
    <w:p w14:paraId="6B5C2044" w14:textId="77777777">
      <w:pPr>
        <w:pBdr/>
        <w:spacing/>
        <w:ind/>
        <w:jc w:val="both"/>
        <w:rPr/>
      </w:pPr>
      <w:r>
        <w:rPr>
          <w:rFonts w:ascii="Arial" w:hAnsi="Arial" w:cs="Arial"/>
          <w:b/>
        </w:rPr>
        <w:t xml:space="preserve">16.6.</w:t>
      </w:r>
      <w:r>
        <w:rPr>
          <w:rFonts w:ascii="Arial" w:hAnsi="Arial" w:cs="Arial"/>
        </w:rPr>
        <w:t xml:space="preserve"> O preço registrado, com a indicação dos fornecedores, será divulgado no DIORONDON e disponibilizado durante a vigência da ata de registro de preços;</w:t>
      </w:r>
      <w:r/>
    </w:p>
    <w:p w14:paraId="484ED1F4" w14:textId="77777777">
      <w:pPr>
        <w:pBdr/>
        <w:spacing/>
        <w:ind w:left="284"/>
        <w:jc w:val="both"/>
        <w:rPr>
          <w:rFonts w:ascii="Arial" w:cs="Arial"/>
        </w:rPr>
      </w:pPr>
      <w:r>
        <w:rPr>
          <w:rFonts w:ascii="Arial" w:cs="Arial"/>
        </w:rPr>
      </w:r>
      <w:r>
        <w:rPr>
          <w:rFonts w:ascii="Arial" w:cs="Arial"/>
        </w:rPr>
      </w:r>
    </w:p>
    <w:p w14:paraId="12D96438" w14:textId="77777777">
      <w:pPr>
        <w:pBdr/>
        <w:spacing/>
        <w:ind/>
        <w:jc w:val="both"/>
        <w:rPr/>
      </w:pPr>
      <w:r>
        <w:rPr>
          <w:rFonts w:ascii="Arial" w:hAnsi="Arial" w:cs="Arial"/>
          <w:b/>
        </w:rPr>
        <w:t xml:space="preserve">16.7.</w:t>
      </w:r>
      <w:r>
        <w:rPr>
          <w:rFonts w:ascii="Arial" w:hAnsi="Arial" w:cs="Arial"/>
        </w:rPr>
        <w:t xml:space="preserve"> A </w:t>
      </w:r>
      <w:r>
        <w:rPr>
          <w:rFonts w:ascii="Arial" w:hAnsi="Arial" w:cs="Arial"/>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p>
    <w:p w14:paraId="38E6855F" w14:textId="77777777">
      <w:pPr>
        <w:pBdr/>
        <w:spacing/>
        <w:ind w:left="284"/>
        <w:jc w:val="both"/>
        <w:rPr>
          <w:rFonts w:ascii="Arial" w:cs="Arial"/>
        </w:rPr>
      </w:pPr>
      <w:r>
        <w:rPr>
          <w:rFonts w:ascii="Arial" w:cs="Arial"/>
        </w:rPr>
      </w:r>
      <w:r>
        <w:rPr>
          <w:rFonts w:ascii="Arial" w:cs="Arial"/>
        </w:rPr>
      </w:r>
    </w:p>
    <w:p w14:paraId="7E975CDB" w14:textId="77777777">
      <w:pPr>
        <w:pBdr/>
        <w:spacing/>
        <w:ind/>
        <w:jc w:val="both"/>
        <w:rPr/>
      </w:pPr>
      <w:r>
        <w:rPr>
          <w:rFonts w:ascii="Arial" w:hAnsi="Arial" w:cs="Arial"/>
          <w:b/>
        </w:rPr>
        <w:t xml:space="preserve">16.8.</w:t>
      </w:r>
      <w:r>
        <w:rPr>
          <w:rFonts w:ascii="Arial" w:hAnsi="Arial" w:cs="Arial"/>
        </w:rPr>
        <w:t xml:space="preserve"> Na hipótese de o convocado não assinar a ata de reg</w:t>
      </w:r>
      <w:r>
        <w:rPr>
          <w:rFonts w:ascii="Arial" w:hAnsi="Arial" w:cs="Arial"/>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p>
    <w:p w14:paraId="0FD24B7A" w14:textId="77777777">
      <w:pPr>
        <w:pBdr/>
        <w:spacing/>
        <w:ind w:left="284"/>
        <w:jc w:val="both"/>
        <w:rPr>
          <w:rFonts w:ascii="Arial" w:cs="Arial"/>
        </w:rPr>
      </w:pPr>
      <w:r>
        <w:rPr>
          <w:rFonts w:ascii="Arial" w:cs="Arial"/>
        </w:rPr>
      </w:r>
      <w:r>
        <w:rPr>
          <w:rFonts w:ascii="Arial" w:cs="Arial"/>
        </w:rPr>
      </w:r>
    </w:p>
    <w:p w14:paraId="11A63C00" w14:textId="77777777">
      <w:pPr>
        <w:pBdr/>
        <w:spacing/>
        <w:ind/>
        <w:jc w:val="both"/>
        <w:rPr>
          <w:rFonts w:ascii="Arial" w:hAnsi="Arial" w:cs="Arial"/>
        </w:rPr>
      </w:pPr>
      <w:r>
        <w:rPr>
          <w:rFonts w:ascii="Arial" w:hAnsi="Arial" w:cs="Arial"/>
          <w:b/>
        </w:rPr>
        <w:t xml:space="preserve">16.9. </w:t>
      </w:r>
      <w:r>
        <w:rPr>
          <w:rFonts w:ascii="Arial" w:hAnsi="Arial" w:cs="Arial"/>
        </w:rPr>
        <w:t xml:space="preserve">Serão formalizadas t</w:t>
      </w:r>
      <w:r>
        <w:rPr>
          <w:rFonts w:ascii="Arial" w:hAnsi="Arial" w:cs="Arial"/>
        </w:rPr>
        <w:t xml:space="preserve">antas Atas de Registro de Preços quanto necessárias para o registro de todos os itens constantes no Termo de Referência, com a indicação do licitante vencedor, a descrição do (s) item (ns), as respectivas quantidades, preços registrados e demais condições.</w:t>
      </w:r>
      <w:r>
        <w:rPr>
          <w:rFonts w:ascii="Arial" w:hAnsi="Arial" w:cs="Arial"/>
        </w:rPr>
      </w:r>
    </w:p>
    <w:p w14:paraId="3AF0788F" w14:textId="77777777">
      <w:pPr>
        <w:pBdr/>
        <w:spacing/>
        <w:ind/>
        <w:jc w:val="both"/>
        <w:rPr>
          <w:rFonts w:ascii="Arial" w:hAnsi="Arial" w:cs="Arial"/>
        </w:rPr>
      </w:pPr>
      <w:r>
        <w:rPr>
          <w:rFonts w:ascii="Arial" w:hAnsi="Arial" w:cs="Arial"/>
        </w:rPr>
      </w:r>
      <w:r>
        <w:rPr>
          <w:rFonts w:ascii="Arial" w:hAnsi="Arial" w:cs="Arial"/>
        </w:rPr>
      </w:r>
    </w:p>
    <w:p w14:paraId="23CA5D65" w14:textId="77777777">
      <w:pPr>
        <w:pBdr/>
        <w:spacing/>
        <w:ind/>
        <w:jc w:val="both"/>
        <w:rPr>
          <w:rFonts w:ascii="Arial" w:hAnsi="Arial"/>
          <w:color w:val="000000"/>
        </w:rPr>
      </w:pPr>
      <w:r>
        <w:rPr>
          <w:rFonts w:ascii="Arial" w:hAnsi="Arial" w:cs="Arial"/>
          <w:b/>
          <w:bCs/>
        </w:rPr>
        <w:t xml:space="preserve">16.20.</w:t>
      </w:r>
      <w:r>
        <w:rPr>
          <w:rFonts w:ascii="Arial" w:hAnsi="Arial" w:cs="Arial"/>
        </w:rPr>
        <w:t xml:space="preserve"> </w:t>
      </w:r>
      <w:r>
        <w:rPr>
          <w:rFonts w:ascii="Arial" w:hAnsi="Arial" w:eastAsia="Arial"/>
          <w:color w:val="000000"/>
        </w:rPr>
        <w:t xml:space="preserve">Fica vedada à participação do órgão ou entidade</w:t>
      </w:r>
      <w:r>
        <w:rPr>
          <w:rFonts w:ascii="Arial" w:hAnsi="Arial" w:eastAsia="Arial"/>
          <w:color w:val="000000"/>
        </w:rPr>
        <w:t xml:space="preserve"> 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color w:val="000000"/>
        </w:rPr>
        <w:t xml:space="preserve">.</w:t>
      </w:r>
      <w:r>
        <w:rPr>
          <w:rFonts w:ascii="Arial" w:hAnsi="Arial"/>
          <w:color w:val="000000"/>
        </w:rPr>
      </w:r>
    </w:p>
    <w:p w14:paraId="315873B7" w14:textId="77777777">
      <w:pPr>
        <w:pBdr/>
        <w:spacing/>
        <w:ind/>
        <w:rPr>
          <w:rFonts w:ascii="Arial" w:cs="Arial"/>
          <w:b/>
        </w:rPr>
      </w:pPr>
      <w:r>
        <w:rPr>
          <w:rFonts w:ascii="Arial" w:cs="Arial"/>
          <w:b/>
        </w:rPr>
      </w:r>
      <w:r>
        <w:rPr>
          <w:rFonts w:ascii="Arial" w:cs="Arial"/>
          <w:b/>
        </w:rPr>
      </w:r>
    </w:p>
    <w:p w14:paraId="295BF14C" w14:textId="77777777">
      <w:pPr>
        <w:pBdr/>
        <w:spacing/>
        <w:ind/>
        <w:rPr/>
      </w:pPr>
      <w:r/>
      <w:bookmarkStart w:id="53" w:name="_Toc135469232"/>
      <w:r>
        <w:rPr>
          <w:rFonts w:ascii="Arial" w:hAnsi="Arial" w:cs="Arial"/>
          <w:b/>
          <w:color w:val="000000"/>
        </w:rPr>
        <w:t xml:space="preserve">16.10. DA FORMAÇÃO DO CADASTRO DE RESERVA</w:t>
      </w:r>
      <w:bookmarkEnd w:id="53"/>
      <w:r>
        <w:rPr>
          <w:rFonts w:ascii="Arial" w:hAnsi="Arial" w:cs="Arial"/>
          <w:b/>
          <w:color w:val="000000"/>
        </w:rPr>
        <w:t xml:space="preserve">:</w:t>
      </w:r>
      <w:r/>
    </w:p>
    <w:p w14:paraId="4744C4D4" w14:textId="77777777">
      <w:pPr>
        <w:pBdr/>
        <w:spacing/>
        <w:ind/>
        <w:rPr>
          <w:rFonts w:ascii="Arial" w:cs="Arial"/>
          <w:b/>
        </w:rPr>
      </w:pPr>
      <w:r>
        <w:rPr>
          <w:rFonts w:ascii="Arial" w:cs="Arial"/>
          <w:b/>
        </w:rPr>
      </w:r>
      <w:r>
        <w:rPr>
          <w:rFonts w:ascii="Arial" w:cs="Arial"/>
          <w:b/>
        </w:rPr>
      </w:r>
    </w:p>
    <w:p w14:paraId="343FD926" w14:textId="77777777">
      <w:pPr>
        <w:pBdr/>
        <w:spacing/>
        <w:ind w:left="284"/>
        <w:jc w:val="both"/>
        <w:rPr/>
      </w:pPr>
      <w:r>
        <w:rPr>
          <w:rFonts w:ascii="Arial" w:hAnsi="Arial" w:cs="Arial"/>
          <w:b/>
        </w:rPr>
        <w:t xml:space="preserve">16.10.1.</w:t>
      </w:r>
      <w:r>
        <w:rPr>
          <w:rFonts w:ascii="Arial" w:hAnsi="Arial" w:cs="Arial"/>
        </w:rPr>
        <w:t xml:space="preserve"> Após a homologação da licitação, será incluído na ata, na forma de anexo, o registro:</w:t>
      </w:r>
      <w:r/>
    </w:p>
    <w:p w14:paraId="107A625F" w14:textId="77777777">
      <w:pPr>
        <w:pBdr/>
        <w:spacing/>
        <w:ind w:left="284"/>
        <w:jc w:val="both"/>
        <w:rPr>
          <w:rFonts w:ascii="Arial" w:cs="Arial"/>
        </w:rPr>
      </w:pPr>
      <w:r>
        <w:rPr>
          <w:rFonts w:ascii="Arial" w:cs="Arial"/>
        </w:rPr>
      </w:r>
      <w:r>
        <w:rPr>
          <w:rFonts w:ascii="Arial" w:cs="Arial"/>
        </w:rPr>
      </w:r>
    </w:p>
    <w:p w14:paraId="421C88A4" w14:textId="77777777">
      <w:pPr>
        <w:pBdr/>
        <w:spacing/>
        <w:ind w:left="284"/>
        <w:jc w:val="both"/>
        <w:rPr/>
      </w:pPr>
      <w:r>
        <w:rPr>
          <w:rFonts w:ascii="Arial" w:hAnsi="Arial" w:cs="Arial"/>
          <w:b/>
        </w:rPr>
        <w:t xml:space="preserve">16.10.1.1.</w:t>
      </w:r>
      <w:r>
        <w:rPr>
          <w:rFonts w:ascii="Arial" w:hAnsi="Arial" w:cs="Arial"/>
        </w:rPr>
        <w:t xml:space="preserve"> Dos licitantes </w:t>
      </w:r>
      <w:bookmarkStart w:id="54" w:name="_Hlk132989696"/>
      <w:r>
        <w:rPr>
          <w:rFonts w:ascii="Arial" w:hAnsi="Arial" w:cs="Arial"/>
        </w:rPr>
        <w:t xml:space="preserve">que </w:t>
      </w:r>
      <w:bookmarkStart w:id="55" w:name="_Hlk132991372"/>
      <w:r>
        <w:rPr>
          <w:rFonts w:ascii="Arial" w:hAnsi="Arial" w:cs="Arial"/>
        </w:rPr>
        <w:t xml:space="preserve">aceitarem cotar o objeto com preço igual ao do adjudicatári</w:t>
      </w:r>
      <w:bookmarkEnd w:id="54"/>
      <w:r>
        <w:rPr>
          <w:rFonts w:ascii="Arial" w:hAnsi="Arial" w:cs="Arial"/>
        </w:rPr>
        <w:t xml:space="preserve">o</w:t>
      </w:r>
      <w:bookmarkEnd w:id="55"/>
      <w:r>
        <w:rPr>
          <w:rFonts w:ascii="Arial" w:hAnsi="Arial" w:cs="Arial"/>
        </w:rPr>
        <w:t xml:space="preserve">, observada a classificação na licitação; e </w:t>
      </w:r>
      <w:r/>
    </w:p>
    <w:p w14:paraId="5BB2C2E9" w14:textId="77777777">
      <w:pPr>
        <w:pBdr/>
        <w:spacing/>
        <w:ind w:left="284"/>
        <w:jc w:val="both"/>
        <w:rPr>
          <w:rFonts w:ascii="Arial" w:cs="Arial"/>
          <w:b/>
        </w:rPr>
      </w:pPr>
      <w:r>
        <w:rPr>
          <w:rFonts w:ascii="Arial" w:cs="Arial"/>
          <w:b/>
        </w:rPr>
      </w:r>
      <w:r>
        <w:rPr>
          <w:rFonts w:ascii="Arial" w:cs="Arial"/>
          <w:b/>
        </w:rPr>
      </w:r>
    </w:p>
    <w:p w14:paraId="73EC3B7C" w14:textId="77777777">
      <w:pPr>
        <w:pBdr/>
        <w:spacing/>
        <w:ind w:left="284"/>
        <w:jc w:val="both"/>
        <w:rPr/>
      </w:pPr>
      <w:r>
        <w:rPr>
          <w:rFonts w:ascii="Arial" w:hAnsi="Arial" w:cs="Arial"/>
          <w:b/>
        </w:rPr>
        <w:t xml:space="preserve">16.10.1.2.</w:t>
      </w:r>
      <w:r>
        <w:rPr>
          <w:rFonts w:ascii="Arial" w:hAnsi="Arial" w:cs="Arial"/>
        </w:rPr>
        <w:t xml:space="preserve"> Dos licitantes que mantiverem sua proposta original;</w:t>
      </w:r>
      <w:r/>
    </w:p>
    <w:p w14:paraId="48B2F1E4" w14:textId="77777777">
      <w:pPr>
        <w:pBdr/>
        <w:spacing/>
        <w:ind w:left="284"/>
        <w:jc w:val="both"/>
        <w:rPr/>
      </w:pPr>
      <w:r>
        <w:rPr>
          <w:rFonts w:ascii="Arial" w:hAnsi="Arial" w:cs="Arial"/>
        </w:rPr>
        <w:t xml:space="preserve">          </w:t>
      </w:r>
      <w:r/>
    </w:p>
    <w:p w14:paraId="13F69CC2" w14:textId="77777777">
      <w:pPr>
        <w:pBdr/>
        <w:spacing/>
        <w:ind w:left="284"/>
        <w:jc w:val="both"/>
        <w:rPr/>
      </w:pPr>
      <w:r>
        <w:rPr>
          <w:rFonts w:ascii="Arial" w:hAnsi="Arial" w:cs="Arial"/>
          <w:b/>
        </w:rPr>
        <w:t xml:space="preserve">16.10.2.</w:t>
      </w:r>
      <w:r>
        <w:rPr>
          <w:rFonts w:ascii="Arial" w:hAnsi="Arial" w:cs="Arial"/>
        </w:rPr>
        <w:t xml:space="preserve"> Será respeitada, nas contratações, a ordem de classificação dos licitantes ou fornecedores registrados na ata;</w:t>
      </w:r>
      <w:r/>
    </w:p>
    <w:p w14:paraId="76E88BA6" w14:textId="77777777">
      <w:pPr>
        <w:pBdr/>
        <w:spacing/>
        <w:ind w:left="284"/>
        <w:jc w:val="both"/>
        <w:rPr>
          <w:rFonts w:ascii="Arial" w:cs="Arial"/>
        </w:rPr>
      </w:pPr>
      <w:r>
        <w:rPr>
          <w:rFonts w:ascii="Arial" w:cs="Arial"/>
        </w:rPr>
      </w:r>
      <w:r>
        <w:rPr>
          <w:rFonts w:ascii="Arial" w:cs="Arial"/>
        </w:rPr>
      </w:r>
    </w:p>
    <w:p w14:paraId="524262F4" w14:textId="77777777">
      <w:pPr>
        <w:pBdr/>
        <w:spacing/>
        <w:ind w:left="284"/>
        <w:jc w:val="both"/>
        <w:rPr/>
      </w:pPr>
      <w:r>
        <w:rPr>
          <w:rFonts w:ascii="Arial" w:hAnsi="Arial" w:cs="Arial"/>
          <w:b/>
        </w:rPr>
        <w:t xml:space="preserve">16.10.2.1.</w:t>
      </w:r>
      <w:r>
        <w:rPr>
          <w:rFonts w:ascii="Arial" w:hAnsi="Arial" w:cs="Arial"/>
        </w:rPr>
        <w:t xml:space="preserve"> A apresentação de novas propostas na forma deste item não prejudicará o resultado do certame em relação ao licitante melhor classificado;</w:t>
      </w:r>
      <w:r/>
    </w:p>
    <w:p w14:paraId="57DB0A06" w14:textId="77777777">
      <w:pPr>
        <w:pBdr/>
        <w:spacing/>
        <w:ind w:left="284"/>
        <w:jc w:val="both"/>
        <w:rPr>
          <w:rFonts w:ascii="Arial" w:cs="Arial"/>
        </w:rPr>
      </w:pPr>
      <w:r>
        <w:rPr>
          <w:rFonts w:ascii="Arial" w:cs="Arial"/>
        </w:rPr>
      </w:r>
      <w:r>
        <w:rPr>
          <w:rFonts w:ascii="Arial" w:cs="Arial"/>
        </w:rPr>
      </w:r>
    </w:p>
    <w:p w14:paraId="091C6ACA" w14:textId="77777777">
      <w:pPr>
        <w:pBdr/>
        <w:spacing/>
        <w:ind w:left="284"/>
        <w:jc w:val="both"/>
        <w:rPr/>
      </w:pPr>
      <w:r>
        <w:rPr>
          <w:rFonts w:ascii="Arial" w:hAnsi="Arial" w:cs="Arial"/>
          <w:b/>
        </w:rPr>
        <w:t xml:space="preserve">16.10.2.2.</w:t>
      </w:r>
      <w:r>
        <w:rPr>
          <w:rFonts w:ascii="Arial" w:hAnsi="Arial" w:cs="Arial"/>
        </w:rPr>
        <w:t xml:space="preserve"> Para fins da ordem de classificação, os licitantes ou fornecedores que aceitarem cotar o objeto com preço igual ao do adjudicatário antecederão aqueles que mantiverem sua proposta original;</w:t>
      </w:r>
      <w:r/>
    </w:p>
    <w:p w14:paraId="22397C5C" w14:textId="77777777">
      <w:pPr>
        <w:pBdr/>
        <w:spacing/>
        <w:ind w:left="284"/>
        <w:jc w:val="both"/>
        <w:rPr>
          <w:rFonts w:ascii="Arial" w:cs="Arial"/>
          <w:b/>
        </w:rPr>
      </w:pPr>
      <w:r>
        <w:rPr>
          <w:rFonts w:ascii="Arial" w:cs="Arial"/>
          <w:b/>
        </w:rPr>
      </w:r>
      <w:r>
        <w:rPr>
          <w:rFonts w:ascii="Arial" w:cs="Arial"/>
          <w:b/>
        </w:rPr>
      </w:r>
    </w:p>
    <w:p w14:paraId="12649903" w14:textId="77777777">
      <w:pPr>
        <w:pBdr/>
        <w:spacing/>
        <w:ind w:left="284"/>
        <w:jc w:val="both"/>
        <w:rPr/>
      </w:pPr>
      <w:r>
        <w:rPr>
          <w:rFonts w:ascii="Arial" w:hAnsi="Arial" w:cs="Arial"/>
          <w:b/>
        </w:rPr>
        <w:t xml:space="preserve">16.10.3.</w:t>
      </w:r>
      <w:r>
        <w:rPr>
          <w:rFonts w:ascii="Arial" w:hAnsi="Arial" w:cs="Arial"/>
        </w:rPr>
        <w:t xml:space="preserve"> A habilitação dos licitantes que comporão o cadastro de reserva será efetuada quando houver necessidade de contratação dos licitantes remanescentes, nas seguintes hipóteses:</w:t>
      </w:r>
      <w:r/>
    </w:p>
    <w:p w14:paraId="384EB56C" w14:textId="77777777">
      <w:pPr>
        <w:pBdr/>
        <w:spacing/>
        <w:ind w:left="284"/>
        <w:jc w:val="both"/>
        <w:rPr>
          <w:rFonts w:ascii="Arial" w:cs="Arial"/>
        </w:rPr>
      </w:pPr>
      <w:r>
        <w:rPr>
          <w:rFonts w:ascii="Arial" w:cs="Arial"/>
        </w:rPr>
      </w:r>
      <w:r>
        <w:rPr>
          <w:rFonts w:ascii="Arial" w:cs="Arial"/>
        </w:rPr>
      </w:r>
    </w:p>
    <w:p w14:paraId="3E92C5F4" w14:textId="77777777">
      <w:pPr>
        <w:pBdr/>
        <w:spacing/>
        <w:ind w:left="284"/>
        <w:jc w:val="both"/>
        <w:rPr/>
      </w:pPr>
      <w:r>
        <w:rPr>
          <w:rFonts w:ascii="Arial" w:hAnsi="Arial" w:cs="Arial"/>
          <w:b/>
        </w:rPr>
        <w:t xml:space="preserve">16.10.3.1.</w:t>
      </w:r>
      <w:r>
        <w:rPr>
          <w:rFonts w:ascii="Arial" w:hAnsi="Arial" w:cs="Arial"/>
        </w:rPr>
        <w:t xml:space="preserve"> Quando o licitante vencedor não assinar a ata de registro de preços no prazo e nas condições estabelecidos no edital; ou</w:t>
      </w:r>
      <w:r/>
    </w:p>
    <w:p w14:paraId="1FC0F3B0" w14:textId="77777777">
      <w:pPr>
        <w:pBdr/>
        <w:spacing/>
        <w:ind w:left="284"/>
        <w:jc w:val="both"/>
        <w:rPr>
          <w:rFonts w:ascii="Arial" w:cs="Arial"/>
        </w:rPr>
      </w:pPr>
      <w:r>
        <w:rPr>
          <w:rFonts w:ascii="Arial" w:cs="Arial"/>
        </w:rPr>
      </w:r>
      <w:r>
        <w:rPr>
          <w:rFonts w:ascii="Arial" w:cs="Arial"/>
        </w:rPr>
      </w:r>
    </w:p>
    <w:p w14:paraId="48517CCE" w14:textId="77777777">
      <w:pPr>
        <w:pBdr/>
        <w:spacing/>
        <w:ind w:left="284"/>
        <w:jc w:val="both"/>
        <w:rPr/>
      </w:pPr>
      <w:r>
        <w:rPr>
          <w:rFonts w:ascii="Arial" w:hAnsi="Arial" w:cs="Arial"/>
          <w:b/>
        </w:rPr>
        <w:t xml:space="preserve">16.10.3.2.</w:t>
      </w:r>
      <w:r>
        <w:rPr>
          <w:rFonts w:ascii="Arial" w:hAnsi="Arial" w:cs="Arial"/>
        </w:rPr>
        <w:t xml:space="preserve"> Quando houver o cancelamento do registro do fornecedor ou do registro de preços;</w:t>
      </w:r>
      <w:r/>
    </w:p>
    <w:p w14:paraId="792DCAD1" w14:textId="77777777">
      <w:pPr>
        <w:pBdr/>
        <w:spacing/>
        <w:ind w:left="284"/>
        <w:jc w:val="both"/>
        <w:rPr>
          <w:rFonts w:ascii="Arial" w:cs="Arial"/>
        </w:rPr>
      </w:pPr>
      <w:r>
        <w:rPr>
          <w:rFonts w:ascii="Arial" w:cs="Arial"/>
        </w:rPr>
      </w:r>
      <w:r>
        <w:rPr>
          <w:rFonts w:ascii="Arial" w:cs="Arial"/>
        </w:rPr>
      </w:r>
    </w:p>
    <w:p w14:paraId="6CCAA7EA" w14:textId="77777777">
      <w:pPr>
        <w:pBdr/>
        <w:spacing/>
        <w:ind w:left="284"/>
        <w:jc w:val="both"/>
        <w:rPr/>
      </w:pPr>
      <w:r>
        <w:rPr>
          <w:rFonts w:ascii="Arial" w:hAnsi="Arial" w:cs="Arial"/>
          <w:b/>
        </w:rPr>
        <w:t xml:space="preserve">16.10.4.</w:t>
      </w:r>
      <w:r>
        <w:rPr>
          <w:rFonts w:ascii="Arial" w:hAnsi="Arial" w:cs="Arial"/>
        </w:rPr>
        <w:t xml:space="preserve"> Na hipótese de nenhum dos licitantes que aceitaram cotar o objet</w:t>
      </w:r>
      <w:r>
        <w:rPr>
          <w:rFonts w:ascii="Arial" w:hAnsi="Arial" w:cs="Arial"/>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p>
    <w:p w14:paraId="35989CBE" w14:textId="77777777">
      <w:pPr>
        <w:pBdr/>
        <w:spacing/>
        <w:ind w:left="284"/>
        <w:jc w:val="both"/>
        <w:rPr>
          <w:rFonts w:ascii="Arial" w:cs="Arial"/>
          <w:b/>
        </w:rPr>
      </w:pPr>
      <w:r>
        <w:rPr>
          <w:rFonts w:ascii="Arial" w:cs="Arial"/>
          <w:b/>
        </w:rPr>
      </w:r>
      <w:r>
        <w:rPr>
          <w:rFonts w:ascii="Arial" w:cs="Arial"/>
          <w:b/>
        </w:rPr>
      </w:r>
    </w:p>
    <w:p w14:paraId="3AC1EBAE" w14:textId="77777777">
      <w:pPr>
        <w:pBdr/>
        <w:spacing/>
        <w:ind w:left="284"/>
        <w:jc w:val="both"/>
        <w:rPr/>
      </w:pPr>
      <w:r>
        <w:rPr>
          <w:rFonts w:ascii="Arial" w:hAnsi="Arial" w:cs="Arial"/>
          <w:b/>
        </w:rPr>
        <w:t xml:space="preserve">16.10.4.1. </w:t>
      </w:r>
      <w:r>
        <w:rPr>
          <w:rFonts w:ascii="Arial" w:hAnsi="Arial" w:cs="Arial"/>
        </w:rPr>
        <w:t xml:space="preserve">Convocar os licitantes que mantiveram sua proposta original para negociação, na ordem de classificação, com vistas à obtenção de preço melhor, mesmo que acima do preço do adjudicatário; ou</w:t>
      </w:r>
      <w:r/>
    </w:p>
    <w:p w14:paraId="3C7B5711" w14:textId="77777777">
      <w:pPr>
        <w:pBdr/>
        <w:spacing/>
        <w:ind w:left="284"/>
        <w:jc w:val="both"/>
        <w:rPr>
          <w:rFonts w:ascii="Arial" w:cs="Arial"/>
          <w:b/>
        </w:rPr>
      </w:pPr>
      <w:r>
        <w:rPr>
          <w:rFonts w:ascii="Arial" w:cs="Arial"/>
          <w:b/>
        </w:rPr>
      </w:r>
      <w:r>
        <w:rPr>
          <w:rFonts w:ascii="Arial" w:cs="Arial"/>
          <w:b/>
        </w:rPr>
      </w:r>
    </w:p>
    <w:p w14:paraId="62C7ED62" w14:textId="77777777">
      <w:pPr>
        <w:pBdr/>
        <w:spacing/>
        <w:ind w:left="284"/>
        <w:jc w:val="both"/>
        <w:rPr/>
      </w:pPr>
      <w:r>
        <w:rPr>
          <w:rFonts w:ascii="Arial" w:hAnsi="Arial" w:cs="Arial"/>
          <w:b/>
        </w:rPr>
        <w:t xml:space="preserve">16.10.4.2. </w:t>
      </w:r>
      <w:r>
        <w:rPr>
          <w:rFonts w:ascii="Arial" w:hAnsi="Arial" w:cs="Arial"/>
        </w:rPr>
        <w:t xml:space="preserve">Adjudicar e firmar o contrato nas condições ofertadas pelos licitantes remanescentes, observada a ordem de classificação, quando frustrada a negociação de melhor condição.</w:t>
      </w:r>
      <w:r/>
    </w:p>
    <w:p w14:paraId="2AEAAA03" w14:textId="77777777">
      <w:pPr>
        <w:pBdr/>
        <w:spacing/>
        <w:ind/>
        <w:jc w:val="both"/>
        <w:rPr>
          <w:rFonts w:ascii="Arial" w:cs="Arial"/>
          <w:b/>
          <w:color w:val="000000"/>
        </w:rPr>
      </w:pPr>
      <w:r>
        <w:rPr>
          <w:rFonts w:ascii="Arial" w:cs="Arial"/>
          <w:b/>
          <w:color w:val="000000"/>
        </w:rPr>
      </w:r>
      <w:r>
        <w:rPr>
          <w:rFonts w:ascii="Arial" w:cs="Arial"/>
          <w:b/>
          <w:color w:val="000000"/>
        </w:rPr>
      </w:r>
    </w:p>
    <w:p w14:paraId="0788EDAA" w14:textId="77777777">
      <w:pPr>
        <w:pBdr/>
        <w:spacing/>
        <w:ind/>
        <w:jc w:val="both"/>
        <w:rPr/>
      </w:pPr>
      <w:r>
        <w:rPr>
          <w:rFonts w:ascii="Arial" w:hAnsi="Arial" w:cs="Arial"/>
          <w:b/>
          <w:color w:val="000000"/>
        </w:rPr>
        <w:t xml:space="preserve">16.11. DA MOTIVAÇÃO PARA NÃO ADESÃO A ARP ("CARONA"):</w:t>
      </w:r>
      <w:r/>
    </w:p>
    <w:p w14:paraId="2B124B8E" w14:textId="77777777">
      <w:pPr>
        <w:pBdr/>
        <w:spacing/>
        <w:ind/>
        <w:jc w:val="both"/>
        <w:rPr>
          <w:rFonts w:ascii="Arial" w:cs="Arial"/>
          <w:color w:val="000000"/>
        </w:rPr>
      </w:pPr>
      <w:r>
        <w:rPr>
          <w:rFonts w:ascii="Arial" w:cs="Arial"/>
          <w:color w:val="000000"/>
        </w:rPr>
      </w:r>
      <w:r>
        <w:rPr>
          <w:rFonts w:ascii="Arial" w:cs="Arial"/>
          <w:color w:val="000000"/>
        </w:rPr>
      </w:r>
    </w:p>
    <w:p w14:paraId="1AE4568D" w14:textId="7AFD3D33">
      <w:pPr>
        <w:pBdr/>
        <w:spacing/>
        <w:ind/>
        <w:jc w:val="both"/>
        <w:rPr>
          <w:rFonts w:ascii="Arial" w:hAnsi="Arial" w:eastAsia="Arial" w:cs="Arial"/>
        </w:rPr>
      </w:pPr>
      <w:r>
        <w:rPr>
          <w:rFonts w:ascii="Arial" w:hAnsi="Arial" w:eastAsia="Arial" w:cs="Arial"/>
        </w:rPr>
        <w:t xml:space="preserve">Nos termos do artigo 86, inciso III, da Lei nº 14.133/2021, de acordo ETP fica a</w:t>
      </w:r>
      <w:r>
        <w:rPr>
          <w:rFonts w:ascii="Arial" w:hAnsi="Arial" w:eastAsia="Arial" w:cs="Arial"/>
        </w:rPr>
        <w:t xml:space="preserve">utorizada a adesão à Ata de Registro de Preços por órgãos ou entidades da Administração Pública que não tenham participado do respectivo processo licitatório, mediante prévia justificativa da vantajosidade da contratação, observados os seguintes critérios:</w:t>
      </w:r>
      <w:r>
        <w:rPr>
          <w:rFonts w:ascii="Arial" w:hAnsi="Arial" w:eastAsia="Arial" w:cs="Arial"/>
        </w:rPr>
      </w:r>
    </w:p>
    <w:p w14:paraId="44D9290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A07C829" w14:textId="77777777">
      <w:pPr>
        <w:pBdr/>
        <w:spacing/>
        <w:ind/>
        <w:jc w:val="both"/>
        <w:rPr>
          <w:rFonts w:ascii="Arial" w:hAnsi="Arial" w:eastAsia="Arial" w:cs="Arial"/>
        </w:rPr>
      </w:pPr>
      <w:r>
        <w:rPr>
          <w:rFonts w:ascii="Arial" w:hAnsi="Arial" w:eastAsia="Arial" w:cs="Arial"/>
          <w:b/>
        </w:rPr>
        <w:t xml:space="preserve">16.11.1.</w:t>
      </w:r>
      <w:r>
        <w:rPr>
          <w:rFonts w:ascii="Arial" w:hAnsi="Arial" w:eastAsia="Arial" w:cs="Arial"/>
        </w:rPr>
        <w:t xml:space="preserve"> A adesão (“carona”) somente poderá ocorrer durante a vigência da Ata de Registro de Preços, respeitados os quantitativos máximos registrados, incluídas eventuais contratações decorrentes de adesões.</w:t>
      </w:r>
      <w:r>
        <w:rPr>
          <w:rFonts w:ascii="Arial" w:hAnsi="Arial" w:eastAsia="Arial" w:cs="Arial"/>
        </w:rPr>
      </w:r>
    </w:p>
    <w:p w14:paraId="7796A5D5"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6964CD85" w14:textId="77777777">
      <w:pPr>
        <w:pBdr/>
        <w:spacing/>
        <w:ind/>
        <w:jc w:val="both"/>
        <w:rPr>
          <w:rFonts w:ascii="Arial" w:hAnsi="Arial" w:eastAsia="Arial" w:cs="Arial"/>
        </w:rPr>
      </w:pPr>
      <w:r>
        <w:rPr>
          <w:rFonts w:ascii="Arial" w:hAnsi="Arial" w:eastAsia="Arial" w:cs="Arial"/>
          <w:b/>
        </w:rPr>
        <w:t xml:space="preserve">16.11.2. </w:t>
      </w:r>
      <w:r>
        <w:rPr>
          <w:rFonts w:ascii="Arial" w:hAnsi="Arial" w:eastAsia="Arial" w:cs="Arial"/>
        </w:rPr>
        <w:t xml:space="preserve">O órgão ou entidade não participante deverá consultar previamente a Administração Gerenciadora, que avaliará a viabilidade e a conveniência da adesão, com base em manifestação técnica e jurídica.</w:t>
      </w:r>
      <w:r>
        <w:rPr>
          <w:rFonts w:ascii="Arial" w:hAnsi="Arial" w:eastAsia="Arial" w:cs="Arial"/>
        </w:rPr>
      </w:r>
    </w:p>
    <w:p w14:paraId="5B2D4BF2"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3C75A94" w14:textId="77777777">
      <w:pPr>
        <w:pBdr/>
        <w:spacing/>
        <w:ind/>
        <w:jc w:val="both"/>
        <w:rPr>
          <w:rFonts w:ascii="Arial" w:hAnsi="Arial" w:eastAsia="Arial" w:cs="Arial"/>
        </w:rPr>
      </w:pPr>
      <w:r>
        <w:rPr>
          <w:rFonts w:ascii="Arial" w:hAnsi="Arial" w:eastAsia="Arial" w:cs="Arial"/>
          <w:b/>
        </w:rPr>
        <w:t xml:space="preserve">16.11.3. </w:t>
      </w:r>
      <w:r>
        <w:rPr>
          <w:rFonts w:ascii="Arial" w:hAnsi="Arial" w:eastAsia="Arial" w:cs="Arial"/>
        </w:rPr>
        <w:t xml:space="preserve">A adjudicatária deverá manifestar aceite formal quanto à adesão, observando os preços e as condições constantes na Ata de Registro de Preços original.</w:t>
      </w:r>
      <w:r>
        <w:rPr>
          <w:rFonts w:ascii="Arial" w:hAnsi="Arial" w:eastAsia="Arial" w:cs="Arial"/>
        </w:rPr>
      </w:r>
    </w:p>
    <w:p w14:paraId="41EACD89"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67DBDEA7" w14:textId="77777777">
      <w:pPr>
        <w:pBdr/>
        <w:spacing/>
        <w:ind/>
        <w:jc w:val="both"/>
        <w:rPr>
          <w:rFonts w:ascii="Arial" w:hAnsi="Arial" w:eastAsia="Arial" w:cs="Arial"/>
        </w:rPr>
      </w:pPr>
      <w:r>
        <w:rPr>
          <w:rFonts w:ascii="Arial" w:hAnsi="Arial" w:eastAsia="Arial" w:cs="Arial"/>
          <w:b/>
        </w:rPr>
        <w:t xml:space="preserve">16.11.4. </w:t>
      </w:r>
      <w:r>
        <w:rPr>
          <w:rFonts w:ascii="Arial" w:hAnsi="Arial" w:eastAsia="Arial" w:cs="Arial"/>
        </w:rPr>
        <w:t xml:space="preserve">O quantitativo total decorrente das adesões não poderá exceder ao quíntuplo</w:t>
      </w:r>
      <w:r>
        <w:rPr>
          <w:rFonts w:ascii="Arial" w:hAnsi="Arial" w:eastAsia="Arial" w:cs="Arial"/>
        </w:rPr>
        <w:t xml:space="preserve"> do quantitativo registrado para cada item, conforme limite fixado no §4º e §6º do art. 86 da lei 14.133/2021, aplicável subsidiariamente até a edição de norma específica pelo ente federativo, salvo disposição diversa expressamente justificada no processo.</w:t>
      </w:r>
      <w:r>
        <w:rPr>
          <w:rFonts w:ascii="Arial" w:hAnsi="Arial" w:eastAsia="Arial" w:cs="Arial"/>
        </w:rPr>
      </w:r>
    </w:p>
    <w:p w14:paraId="78F99D5B"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1B16B375" w14:textId="77777777">
      <w:pPr>
        <w:pBdr/>
        <w:spacing/>
        <w:ind/>
        <w:jc w:val="both"/>
        <w:rPr>
          <w:rFonts w:ascii="Arial" w:hAnsi="Arial" w:eastAsia="Arial" w:cs="Arial"/>
        </w:rPr>
      </w:pPr>
      <w:r>
        <w:rPr>
          <w:rFonts w:ascii="Arial" w:hAnsi="Arial" w:eastAsia="Arial" w:cs="Arial"/>
          <w:b/>
        </w:rPr>
        <w:t xml:space="preserve">16.11.5. </w:t>
      </w:r>
      <w:r>
        <w:rPr>
          <w:rFonts w:ascii="Arial" w:hAnsi="Arial" w:eastAsia="Arial" w:cs="Arial"/>
        </w:rPr>
        <w:t xml:space="preserve">Cada adesão deverá ser formalizada por meio de instrumento próprio de contratação direta entre o órgão não participante e o fornecedor registrado, cabendo àquele a integral responsabilidade pelo acompanhamento e fiscalização da execução contratual.</w:t>
      </w:r>
      <w:r>
        <w:rPr>
          <w:rFonts w:ascii="Arial" w:hAnsi="Arial" w:eastAsia="Arial" w:cs="Arial"/>
        </w:rPr>
      </w:r>
    </w:p>
    <w:p w14:paraId="009D84E3" w14:textId="77777777">
      <w:pPr>
        <w:pBdr/>
        <w:spacing/>
        <w:ind w:left="284"/>
        <w:jc w:val="both"/>
        <w:rPr>
          <w:rFonts w:ascii="Arial" w:cs="Arial"/>
          <w:color w:val="000000"/>
        </w:rPr>
      </w:pPr>
      <w:r>
        <w:rPr>
          <w:rFonts w:ascii="Arial" w:cs="Arial"/>
          <w:color w:val="000000"/>
        </w:rPr>
      </w:r>
      <w:r>
        <w:rPr>
          <w:rFonts w:ascii="Arial" w:cs="Arial"/>
          <w:color w:val="000000"/>
        </w:rPr>
      </w:r>
    </w:p>
    <w:p w14:paraId="35FF98E9" w14:textId="77777777">
      <w:pPr>
        <w:pStyle w:val="873"/>
        <w:pBdr/>
        <w:spacing w:after="0" w:before="0"/>
        <w:ind/>
        <w:rPr>
          <w:lang w:val="pt-BR"/>
        </w:rPr>
      </w:pPr>
      <w:r/>
      <w:bookmarkStart w:id="56" w:name="_Toc135469233_Copia_1"/>
      <w:r/>
      <w:bookmarkStart w:id="57" w:name="_Toc21721"/>
      <w:r/>
      <w:bookmarkEnd w:id="56"/>
      <w:r>
        <w:rPr>
          <w:sz w:val="20"/>
          <w:lang w:val="pt-BR"/>
        </w:rPr>
        <w:t xml:space="preserve">17. </w:t>
      </w:r>
      <w:bookmarkStart w:id="58" w:name="_Toc135469233"/>
      <w:r>
        <w:rPr>
          <w:sz w:val="20"/>
          <w:lang w:val="pt-BR"/>
        </w:rPr>
        <w:t xml:space="preserve">DOS RECURSOS</w:t>
      </w:r>
      <w:bookmarkEnd w:id="58"/>
      <w:r>
        <w:rPr>
          <w:sz w:val="20"/>
          <w:lang w:val="pt-BR"/>
        </w:rPr>
        <w:t xml:space="preserve"> SOBRE PROPOSTA, HABILITAÇÃO OU INABILITAÇÃO DE LICITANTES:</w:t>
      </w:r>
      <w:bookmarkEnd w:id="57"/>
      <w:r/>
      <w:r>
        <w:rPr>
          <w:lang w:val="pt-BR"/>
        </w:rPr>
      </w:r>
    </w:p>
    <w:p w14:paraId="2999EF13" w14:textId="77777777">
      <w:pPr>
        <w:pBdr/>
        <w:spacing/>
        <w:ind w:left="284"/>
        <w:rPr>
          <w:rFonts w:ascii="Arial" w:cs="Arial"/>
          <w:b/>
        </w:rPr>
      </w:pPr>
      <w:r>
        <w:rPr>
          <w:rFonts w:ascii="Arial" w:cs="Arial"/>
          <w:b/>
        </w:rPr>
      </w:r>
      <w:r>
        <w:rPr>
          <w:rFonts w:ascii="Arial" w:cs="Arial"/>
          <w:b/>
        </w:rPr>
      </w:r>
    </w:p>
    <w:p w14:paraId="11757556" w14:textId="77777777">
      <w:pPr>
        <w:pBdr/>
        <w:spacing/>
        <w:ind/>
        <w:jc w:val="both"/>
        <w:rPr/>
      </w:pPr>
      <w:r>
        <w:rPr>
          <w:rFonts w:ascii="Arial" w:hAnsi="Arial" w:cs="Arial"/>
          <w:b/>
          <w:color w:val="000000"/>
        </w:rPr>
        <w:t xml:space="preserve">17.1.</w:t>
      </w:r>
      <w:r>
        <w:rPr>
          <w:rFonts w:ascii="Arial" w:hAnsi="Arial" w:cs="Arial"/>
          <w:color w:val="000000"/>
        </w:rPr>
        <w:t xml:space="preserve"> Ao final da sessão </w:t>
      </w:r>
      <w:r>
        <w:rPr>
          <w:rFonts w:ascii="Arial" w:hAnsi="Arial" w:cs="Arial"/>
          <w:b/>
          <w:color w:val="000000"/>
        </w:rPr>
        <w:t xml:space="preserve">Declarado o(s) Vencedor(es)</w:t>
      </w:r>
      <w:r>
        <w:rPr>
          <w:rFonts w:ascii="Arial" w:hAnsi="Arial" w:cs="Arial"/>
          <w:color w:val="000000"/>
        </w:rPr>
        <w:t xml:space="preserve">, qualquer licitante poderá, </w:t>
      </w:r>
      <w:r>
        <w:rPr>
          <w:rFonts w:ascii="Arial" w:hAnsi="Arial" w:cs="Arial"/>
          <w:color w:val="000000"/>
          <w:shd w:val="clear" w:color="auto" w:fill="ffffff"/>
        </w:rPr>
        <w:t xml:space="preserve">durante o </w:t>
      </w:r>
      <w:r>
        <w:rPr>
          <w:rFonts w:ascii="Arial" w:hAnsi="Arial" w:cs="Arial"/>
          <w:b/>
          <w:color w:val="000000"/>
          <w:shd w:val="clear" w:color="auto" w:fill="ffffff"/>
        </w:rPr>
        <w:t xml:space="preserve">prazo de 60 (sessenta) minutos</w:t>
      </w:r>
      <w:r>
        <w:rPr>
          <w:rFonts w:ascii="Arial" w:hAnsi="Arial" w:cs="Arial"/>
          <w:color w:val="000000"/>
          <w:shd w:val="clear" w:color="auto" w:fill="ffffff"/>
        </w:rPr>
        <w:t xml:space="preserve">, </w:t>
      </w:r>
      <w:r>
        <w:rPr>
          <w:rFonts w:ascii="Arial" w:hAnsi="Arial" w:cs="Arial"/>
          <w:color w:val="000000"/>
        </w:rPr>
        <w:t xml:space="preserve">de forma imediata, em campo próprio </w:t>
      </w:r>
      <w:r>
        <w:rPr>
          <w:rFonts w:ascii="Arial" w:hAnsi="Arial" w:cs="Arial"/>
        </w:rPr>
        <w:t xml:space="preserve">no sítio eletrônico</w:t>
      </w:r>
      <w:r>
        <w:rPr>
          <w:rFonts w:ascii="Arial" w:hAnsi="Arial" w:cs="Arial"/>
          <w:color w:val="000000"/>
        </w:rPr>
        <w:t xml:space="preserve"> </w:t>
      </w:r>
      <w:hyperlink r:id="rId37" w:tooltip="mailto:bllcompras.com" w:history="1">
        <w:r>
          <w:rPr>
            <w:rFonts w:ascii="Arial" w:hAnsi="Arial" w:cs="Arial"/>
            <w:b/>
            <w:color w:val="000000"/>
            <w:u w:val="single"/>
          </w:rPr>
          <w:t xml:space="preserve">bllcompras.com</w:t>
        </w:r>
      </w:hyperlink>
      <w:r>
        <w:rPr>
          <w:rFonts w:ascii="Arial" w:hAnsi="Arial" w:cs="Arial"/>
          <w:color w:val="000000"/>
        </w:rPr>
        <w:t xml:space="preserve">, manifestar sua intenção de recorrer, impugnando o julgamento da(s) proposta(s) ou o ato de habilitação ou inabilitação do(s) licitante(s), sob pena de preclusão desse direito;</w:t>
      </w:r>
      <w:r/>
    </w:p>
    <w:p w14:paraId="62231804" w14:textId="77777777">
      <w:pPr>
        <w:pBdr/>
        <w:spacing/>
        <w:ind w:left="284"/>
        <w:jc w:val="both"/>
        <w:rPr>
          <w:rFonts w:ascii="Arial" w:cs="Arial"/>
          <w:b/>
        </w:rPr>
      </w:pPr>
      <w:r>
        <w:rPr>
          <w:rFonts w:ascii="Arial" w:cs="Arial"/>
          <w:b/>
        </w:rPr>
      </w:r>
      <w:r>
        <w:rPr>
          <w:rFonts w:ascii="Arial" w:cs="Arial"/>
          <w:b/>
        </w:rPr>
      </w:r>
    </w:p>
    <w:p w14:paraId="775D3EFF" w14:textId="77777777">
      <w:pPr>
        <w:pBdr/>
        <w:spacing/>
        <w:ind w:left="284"/>
        <w:jc w:val="both"/>
        <w:rPr/>
      </w:pPr>
      <w:r>
        <w:rPr>
          <w:rFonts w:ascii="Arial" w:hAnsi="Arial" w:cs="Arial"/>
          <w:b/>
        </w:rPr>
        <w:t xml:space="preserve">17.1.1.</w:t>
      </w:r>
      <w:r>
        <w:rPr>
          <w:rFonts w:ascii="Arial" w:hAnsi="Arial" w:cs="Arial"/>
        </w:rPr>
        <w:t xml:space="preserve"> A interposição de recurso referente ao julgamento das propostas, à habilitação ou inabilitação de licitantes, à anulação ou revogação da licitação, observará o disposto no </w:t>
      </w:r>
      <w:hyperlink r:id="rId38" w:tooltip="http://www.planalto.gov.br/ccivil_03/_ato2019-2022/2021/lei/L14133.htm#art165" w:anchor="art165" w:history="1">
        <w:r>
          <w:rPr>
            <w:rFonts w:ascii="Arial" w:hAnsi="Arial" w:cs="Arial"/>
          </w:rPr>
          <w:t xml:space="preserve">art. 165 da Lei nº 14.133, de 2021</w:t>
        </w:r>
      </w:hyperlink>
      <w:r>
        <w:rPr>
          <w:rFonts w:ascii="Arial" w:hAnsi="Arial" w:cs="Arial"/>
        </w:rPr>
        <w:t xml:space="preserve">;</w:t>
      </w:r>
      <w:r/>
    </w:p>
    <w:p w14:paraId="4F46ABE8" w14:textId="77777777">
      <w:pPr>
        <w:pBdr/>
        <w:spacing/>
        <w:ind w:left="284"/>
        <w:jc w:val="both"/>
        <w:rPr/>
      </w:pPr>
      <w:r>
        <w:rPr>
          <w:rFonts w:ascii="Arial" w:hAnsi="Arial" w:cs="Arial"/>
          <w:color w:val="000000"/>
        </w:rPr>
        <w:t xml:space="preserve"> </w:t>
      </w:r>
      <w:r/>
    </w:p>
    <w:p w14:paraId="653DB314" w14:textId="77777777">
      <w:pPr>
        <w:pBdr/>
        <w:spacing/>
        <w:ind/>
        <w:jc w:val="both"/>
        <w:rPr/>
      </w:pPr>
      <w:r>
        <w:rPr>
          <w:rFonts w:ascii="Arial" w:hAnsi="Arial" w:cs="Arial"/>
          <w:b/>
          <w:color w:val="212529"/>
          <w:shd w:val="clear" w:color="auto" w:fill="ffffff"/>
        </w:rPr>
        <w:t xml:space="preserve">17.2.</w:t>
      </w:r>
      <w:r>
        <w:rPr>
          <w:rFonts w:ascii="Arial" w:hAnsi="Arial" w:cs="Arial"/>
          <w:color w:val="212529"/>
          <w:shd w:val="clear" w:color="auto" w:fill="ffffff"/>
        </w:rPr>
        <w:t xml:space="preserve"> A ausência de manifestação imediata nos termos do disposto no </w:t>
      </w:r>
      <w:r>
        <w:rPr>
          <w:rFonts w:ascii="Arial" w:hAnsi="Arial" w:cs="Arial"/>
          <w:b/>
          <w:color w:val="212529"/>
          <w:shd w:val="clear" w:color="auto" w:fill="ffffff"/>
        </w:rPr>
        <w:t xml:space="preserve">item 17.1</w:t>
      </w:r>
      <w:r>
        <w:rPr>
          <w:rFonts w:ascii="Arial" w:hAnsi="Arial" w:cs="Arial"/>
          <w:color w:val="212529"/>
          <w:shd w:val="clear" w:color="auto" w:fill="ffffff"/>
        </w:rPr>
        <w:t xml:space="preserve">, importará na decadência </w:t>
      </w:r>
      <w:r>
        <w:rPr>
          <w:rFonts w:ascii="Arial" w:hAnsi="Arial" w:cs="Arial"/>
        </w:rPr>
        <w:t xml:space="preserve">do direito de recurso</w:t>
      </w:r>
      <w:r>
        <w:rPr>
          <w:rFonts w:ascii="Arial" w:hAnsi="Arial" w:cs="Arial"/>
          <w:color w:val="212529"/>
          <w:shd w:val="clear" w:color="auto" w:fill="ffffff"/>
        </w:rPr>
        <w:t xml:space="preserve">, e o Pregoeiro estará autorizado a adjudicar o objeto ao licitante declarado vencedor;</w:t>
      </w:r>
      <w:r/>
    </w:p>
    <w:p w14:paraId="0B0BF144" w14:textId="77777777">
      <w:pPr>
        <w:pBdr/>
        <w:spacing/>
        <w:ind w:left="284"/>
        <w:jc w:val="both"/>
        <w:rPr>
          <w:rFonts w:ascii="Arial" w:cs="Arial"/>
          <w:color w:val="212529"/>
          <w:shd w:val="clear" w:color="auto" w:fill="ffffff"/>
        </w:rPr>
      </w:pPr>
      <w:r>
        <w:rPr>
          <w:rFonts w:ascii="Arial" w:cs="Arial"/>
          <w:color w:val="212529"/>
          <w:shd w:val="clear" w:color="auto" w:fill="ffffff"/>
        </w:rPr>
      </w:r>
      <w:r>
        <w:rPr>
          <w:rFonts w:ascii="Arial" w:cs="Arial"/>
          <w:color w:val="212529"/>
          <w:shd w:val="clear" w:color="auto" w:fill="ffffff"/>
        </w:rPr>
      </w:r>
    </w:p>
    <w:p w14:paraId="64337FDD" w14:textId="77777777">
      <w:pPr>
        <w:pBdr/>
        <w:spacing/>
        <w:ind/>
        <w:jc w:val="both"/>
        <w:rPr/>
      </w:pPr>
      <w:r>
        <w:rPr>
          <w:rFonts w:ascii="Arial" w:hAnsi="Arial" w:cs="Arial"/>
          <w:b/>
        </w:rPr>
        <w:t xml:space="preserve">17.3.</w:t>
      </w:r>
      <w:r>
        <w:rPr>
          <w:rFonts w:ascii="Arial" w:hAnsi="Arial" w:cs="Arial"/>
        </w:rPr>
        <w:t xml:space="preserve"> Só será acatado o recurso em memorial descritivo, a mensagem postada no site só servirá para efeito de manifestação de intenção de recorrer.</w:t>
      </w:r>
      <w:r/>
    </w:p>
    <w:p w14:paraId="26BD2A09" w14:textId="77777777">
      <w:pPr>
        <w:pBdr/>
        <w:spacing/>
        <w:ind w:left="284"/>
        <w:jc w:val="both"/>
        <w:rPr>
          <w:rFonts w:ascii="Arial" w:cs="Arial"/>
        </w:rPr>
      </w:pPr>
      <w:r>
        <w:rPr>
          <w:rFonts w:ascii="Arial" w:cs="Arial"/>
        </w:rPr>
      </w:r>
      <w:r>
        <w:rPr>
          <w:rFonts w:ascii="Arial" w:cs="Arial"/>
        </w:rPr>
      </w:r>
    </w:p>
    <w:p w14:paraId="42027290" w14:textId="77777777">
      <w:pPr>
        <w:pBdr/>
        <w:spacing/>
        <w:ind/>
        <w:jc w:val="both"/>
        <w:rPr/>
      </w:pPr>
      <w:r>
        <w:rPr>
          <w:rFonts w:ascii="Arial" w:hAnsi="Arial" w:cs="Arial"/>
          <w:b/>
        </w:rPr>
        <w:t xml:space="preserve">17.4.</w:t>
      </w:r>
      <w:r>
        <w:rPr>
          <w:rFonts w:ascii="Arial" w:hAnsi="Arial" w:cs="Arial"/>
        </w:rPr>
        <w:t xml:space="preserve"> A alegação apresentada no memorial do recurso deverá relacionar-se com as razões indicadas pela licitante no momento da sessão pública, sob pena de não ser conhecido o recurso. </w:t>
      </w:r>
      <w:r/>
    </w:p>
    <w:p w14:paraId="72F1C93D" w14:textId="77777777">
      <w:pPr>
        <w:pBdr/>
        <w:spacing/>
        <w:ind w:left="284"/>
        <w:jc w:val="both"/>
        <w:rPr>
          <w:rFonts w:ascii="Arial" w:cs="Arial"/>
        </w:rPr>
      </w:pPr>
      <w:r>
        <w:rPr>
          <w:rFonts w:ascii="Arial" w:cs="Arial"/>
        </w:rPr>
      </w:r>
      <w:r>
        <w:rPr>
          <w:rFonts w:ascii="Arial" w:cs="Arial"/>
        </w:rPr>
      </w:r>
    </w:p>
    <w:p w14:paraId="40C21B93" w14:textId="77777777">
      <w:pPr>
        <w:pBdr/>
        <w:spacing/>
        <w:ind/>
        <w:jc w:val="both"/>
        <w:rPr/>
      </w:pPr>
      <w:r>
        <w:rPr>
          <w:rFonts w:ascii="Arial" w:hAnsi="Arial" w:cs="Arial"/>
          <w:b/>
        </w:rPr>
        <w:t xml:space="preserve">17.5.</w:t>
      </w:r>
      <w:r>
        <w:rPr>
          <w:rFonts w:ascii="Arial" w:hAnsi="Arial" w:cs="Arial"/>
        </w:rPr>
        <w:t xml:space="preserve"> </w:t>
      </w:r>
      <w:r>
        <w:rPr>
          <w:rFonts w:ascii="Arial" w:hAnsi="Arial" w:cs="Arial"/>
          <w:color w:val="000000"/>
        </w:rPr>
        <w:t xml:space="preserve">O prazo para apresentação das razões recursais</w:t>
      </w:r>
      <w:r>
        <w:rPr>
          <w:rFonts w:ascii="Arial" w:hAnsi="Arial" w:cs="Arial"/>
        </w:rPr>
        <w:t xml:space="preserve"> será de 3 (três) dias úteis, contados da data </w:t>
      </w:r>
      <w:r>
        <w:rPr>
          <w:rFonts w:ascii="Arial" w:hAnsi="Arial" w:cs="Arial"/>
          <w:color w:val="000000"/>
        </w:rPr>
        <w:t xml:space="preserve">de lavratura da ata de habilitação ou inabilitação ou da intimação conforme o caso;</w:t>
      </w:r>
      <w:r/>
    </w:p>
    <w:p w14:paraId="71A8BE53" w14:textId="77777777">
      <w:pPr>
        <w:pBdr/>
        <w:spacing/>
        <w:ind w:left="284"/>
        <w:jc w:val="both"/>
        <w:rPr>
          <w:rFonts w:ascii="Arial" w:cs="Arial"/>
        </w:rPr>
      </w:pPr>
      <w:r>
        <w:rPr>
          <w:rFonts w:ascii="Arial" w:cs="Arial"/>
        </w:rPr>
      </w:r>
      <w:r>
        <w:rPr>
          <w:rFonts w:ascii="Arial" w:cs="Arial"/>
        </w:rPr>
      </w:r>
    </w:p>
    <w:p w14:paraId="719A73E1" w14:textId="77777777">
      <w:pPr>
        <w:pBdr/>
        <w:spacing/>
        <w:ind/>
        <w:jc w:val="both"/>
        <w:rPr/>
      </w:pPr>
      <w:r>
        <w:rPr>
          <w:rFonts w:ascii="Arial" w:hAnsi="Arial" w:cs="Arial"/>
          <w:b/>
        </w:rPr>
        <w:t xml:space="preserve">17.6. </w:t>
      </w:r>
      <w:r>
        <w:rPr>
          <w:rFonts w:ascii="Arial" w:hAnsi="Arial" w:cs="Arial"/>
        </w:rPr>
        <w:t xml:space="preserve">O prazo para aprese</w:t>
      </w:r>
      <w:r>
        <w:rPr>
          <w:rFonts w:ascii="Arial" w:hAnsi="Arial" w:cs="Arial"/>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p>
    <w:p w14:paraId="4D5C7726" w14:textId="77777777">
      <w:pPr>
        <w:pBdr/>
        <w:spacing/>
        <w:ind w:left="284"/>
        <w:jc w:val="both"/>
        <w:rPr>
          <w:rFonts w:ascii="Arial" w:cs="Arial"/>
        </w:rPr>
      </w:pPr>
      <w:r>
        <w:rPr>
          <w:rFonts w:ascii="Arial" w:cs="Arial"/>
        </w:rPr>
      </w:r>
      <w:r>
        <w:rPr>
          <w:rFonts w:ascii="Arial" w:cs="Arial"/>
        </w:rPr>
      </w:r>
    </w:p>
    <w:p w14:paraId="6F53C2BF" w14:textId="77777777">
      <w:pPr>
        <w:pBdr/>
        <w:spacing/>
        <w:ind/>
        <w:jc w:val="both"/>
        <w:rPr/>
      </w:pPr>
      <w:r>
        <w:rPr>
          <w:rFonts w:ascii="Arial" w:hAnsi="Arial" w:cs="Arial"/>
          <w:b/>
        </w:rPr>
        <w:t xml:space="preserve">17.7. </w:t>
      </w:r>
      <w:r>
        <w:rPr>
          <w:rFonts w:ascii="Arial" w:hAnsi="Arial" w:cs="Arial"/>
        </w:rPr>
        <w:t xml:space="preserve">Os recursos e contrarrazões ao recurso deverão ser encaminhados exclusivamente em campo próprio no sítio eletrônico </w:t>
      </w:r>
      <w:r>
        <w:rPr>
          <w:rFonts w:ascii="Arial" w:hAnsi="Arial" w:cs="Arial"/>
          <w:color w:val="000000"/>
        </w:rPr>
        <w:t xml:space="preserve">bllcompras.com;</w:t>
      </w:r>
      <w:r/>
    </w:p>
    <w:p w14:paraId="7B630056" w14:textId="77777777">
      <w:pPr>
        <w:pBdr/>
        <w:spacing/>
        <w:ind w:left="284"/>
        <w:jc w:val="both"/>
        <w:rPr>
          <w:rFonts w:ascii="Arial" w:cs="Arial"/>
          <w:color w:val="000000"/>
        </w:rPr>
      </w:pPr>
      <w:r>
        <w:rPr>
          <w:rFonts w:ascii="Arial" w:cs="Arial"/>
          <w:color w:val="000000"/>
        </w:rPr>
      </w:r>
      <w:r>
        <w:rPr>
          <w:rFonts w:ascii="Arial" w:cs="Arial"/>
          <w:color w:val="000000"/>
        </w:rPr>
      </w:r>
    </w:p>
    <w:p w14:paraId="2010D343" w14:textId="77777777">
      <w:pPr>
        <w:pBdr/>
        <w:spacing/>
        <w:ind/>
        <w:jc w:val="both"/>
        <w:rPr/>
      </w:pPr>
      <w:r>
        <w:rPr>
          <w:rFonts w:ascii="Arial" w:hAnsi="Arial" w:cs="Arial"/>
          <w:b/>
        </w:rPr>
        <w:t xml:space="preserve">17.8. </w:t>
      </w:r>
      <w:r>
        <w:rPr>
          <w:rFonts w:ascii="Arial" w:hAnsi="Arial" w:cs="Arial"/>
        </w:rPr>
        <w:t xml:space="preserve">Os recursos interpostos fora do prazo não serão conhecidos;</w:t>
      </w:r>
      <w:r/>
    </w:p>
    <w:p w14:paraId="40857A18" w14:textId="77777777">
      <w:pPr>
        <w:pBdr/>
        <w:spacing/>
        <w:ind w:left="284"/>
        <w:jc w:val="both"/>
        <w:rPr>
          <w:rFonts w:ascii="Arial" w:cs="Arial"/>
        </w:rPr>
      </w:pPr>
      <w:r>
        <w:rPr>
          <w:rFonts w:ascii="Arial" w:cs="Arial"/>
        </w:rPr>
      </w:r>
      <w:r>
        <w:rPr>
          <w:rFonts w:ascii="Arial" w:cs="Arial"/>
        </w:rPr>
      </w:r>
    </w:p>
    <w:p w14:paraId="5BA9D2DE" w14:textId="77777777">
      <w:pPr>
        <w:pBdr/>
        <w:spacing/>
        <w:ind/>
        <w:jc w:val="both"/>
        <w:rPr/>
      </w:pPr>
      <w:r>
        <w:rPr>
          <w:rFonts w:ascii="Arial" w:hAnsi="Arial" w:cs="Arial"/>
          <w:b/>
        </w:rPr>
        <w:t xml:space="preserve">17.9. </w:t>
      </w:r>
      <w:r>
        <w:rPr>
          <w:rFonts w:ascii="Arial" w:hAnsi="Arial" w:cs="Arial"/>
        </w:rPr>
        <w:t xml:space="preserve">Os autos do processo permanecerão com vista franqueada aos interessados no sítio eletrônico </w:t>
      </w:r>
      <w:r>
        <w:rPr>
          <w:rFonts w:ascii="Arial" w:hAnsi="Arial" w:cs="Arial"/>
          <w:color w:val="000000"/>
        </w:rPr>
        <w:t xml:space="preserve">bllcompras.com;</w:t>
      </w:r>
      <w:r/>
    </w:p>
    <w:p w14:paraId="1D0B7AEC" w14:textId="77777777">
      <w:pPr>
        <w:pBdr/>
        <w:spacing/>
        <w:ind w:left="284"/>
        <w:jc w:val="both"/>
        <w:rPr/>
      </w:pPr>
      <w:r>
        <w:rPr>
          <w:rFonts w:ascii="Arial" w:hAnsi="Arial" w:cs="Arial"/>
        </w:rPr>
        <w:t xml:space="preserve"> </w:t>
      </w:r>
      <w:r/>
    </w:p>
    <w:p w14:paraId="5C777544" w14:textId="77777777">
      <w:pPr>
        <w:pBdr/>
        <w:spacing/>
        <w:ind/>
        <w:jc w:val="both"/>
        <w:rPr/>
      </w:pPr>
      <w:r>
        <w:rPr>
          <w:rFonts w:ascii="Arial" w:hAnsi="Arial" w:cs="Arial"/>
          <w:b/>
        </w:rPr>
        <w:t xml:space="preserve">17.10. </w:t>
      </w:r>
      <w:r>
        <w:rPr>
          <w:rFonts w:ascii="Arial" w:hAnsi="Arial" w:cs="Arial"/>
        </w:rPr>
        <w:t xml:space="preserve">O recurso e o pedido de reconsideração terão efeito suspensivo do ato ou da decisão recorrida até que sobrevenha decisão final da autoridade competente; </w:t>
      </w:r>
      <w:r/>
    </w:p>
    <w:p w14:paraId="6DDAA11E" w14:textId="77777777">
      <w:pPr>
        <w:pBdr/>
        <w:spacing/>
        <w:ind w:left="284"/>
        <w:jc w:val="both"/>
        <w:rPr>
          <w:rFonts w:ascii="Arial" w:cs="Arial"/>
          <w:b/>
        </w:rPr>
      </w:pPr>
      <w:r>
        <w:rPr>
          <w:rFonts w:ascii="Arial" w:cs="Arial"/>
          <w:b/>
        </w:rPr>
      </w:r>
      <w:r>
        <w:rPr>
          <w:rFonts w:ascii="Arial" w:cs="Arial"/>
          <w:b/>
        </w:rPr>
      </w:r>
    </w:p>
    <w:p w14:paraId="7763FFEB" w14:textId="77777777">
      <w:pPr>
        <w:pBdr/>
        <w:spacing/>
        <w:ind/>
        <w:jc w:val="both"/>
        <w:rPr/>
      </w:pPr>
      <w:r>
        <w:rPr>
          <w:rFonts w:ascii="Arial" w:hAnsi="Arial" w:cs="Arial"/>
          <w:b/>
        </w:rPr>
        <w:t xml:space="preserve">17.11. </w:t>
      </w:r>
      <w:r>
        <w:rPr>
          <w:rFonts w:ascii="Arial" w:hAnsi="Arial" w:cs="Arial"/>
        </w:rPr>
        <w:t xml:space="preserve">O acolhimento do recurso invalida tão somente os atos insuscetíveis de aproveitamento;</w:t>
      </w:r>
      <w:r/>
    </w:p>
    <w:p w14:paraId="525DDCAC" w14:textId="77777777">
      <w:pPr>
        <w:pBdr/>
        <w:spacing/>
        <w:ind w:left="284"/>
        <w:jc w:val="both"/>
        <w:rPr>
          <w:rFonts w:ascii="Arial" w:cs="Arial"/>
          <w:b/>
        </w:rPr>
      </w:pPr>
      <w:r>
        <w:rPr>
          <w:rFonts w:ascii="Arial" w:cs="Arial"/>
          <w:b/>
        </w:rPr>
      </w:r>
      <w:r>
        <w:rPr>
          <w:rFonts w:ascii="Arial" w:cs="Arial"/>
          <w:b/>
        </w:rPr>
      </w:r>
    </w:p>
    <w:p w14:paraId="75E78786" w14:textId="77777777">
      <w:pPr>
        <w:pBdr/>
        <w:spacing/>
        <w:ind/>
        <w:jc w:val="both"/>
        <w:rPr/>
      </w:pPr>
      <w:r>
        <w:rPr>
          <w:rFonts w:ascii="Arial" w:hAnsi="Arial" w:cs="Arial"/>
          <w:b/>
        </w:rPr>
        <w:t xml:space="preserve">17.12. </w:t>
      </w:r>
      <w:r>
        <w:rPr>
          <w:rFonts w:ascii="Arial" w:hAnsi="Arial" w:cs="Arial"/>
        </w:rPr>
        <w:t xml:space="preserve">O recurso será dirigido à autoridade que tiver editado o ato ou proferido a decisã</w:t>
      </w:r>
      <w:r>
        <w:rPr>
          <w:rFonts w:ascii="Arial" w:hAnsi="Arial" w:cs="Arial"/>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p>
    <w:p w14:paraId="4E47261A" w14:textId="77777777">
      <w:pPr>
        <w:pBdr/>
        <w:spacing/>
        <w:ind w:right="99"/>
        <w:jc w:val="both"/>
        <w:rPr>
          <w:rFonts w:ascii="Arial" w:cs="Arial"/>
          <w:b/>
        </w:rPr>
      </w:pPr>
      <w:r>
        <w:rPr>
          <w:rFonts w:ascii="Arial" w:cs="Arial"/>
          <w:b/>
        </w:rPr>
      </w:r>
      <w:r>
        <w:rPr>
          <w:rFonts w:ascii="Arial" w:cs="Arial"/>
          <w:b/>
        </w:rPr>
      </w:r>
    </w:p>
    <w:p w14:paraId="1A8D8831" w14:textId="77777777">
      <w:pPr>
        <w:pStyle w:val="873"/>
        <w:pBdr/>
        <w:spacing w:after="0" w:before="0"/>
        <w:ind/>
        <w:rPr>
          <w:lang w:val="pt-BR"/>
        </w:rPr>
      </w:pPr>
      <w:r/>
      <w:bookmarkStart w:id="59" w:name="_Toc516"/>
      <w:r/>
      <w:bookmarkStart w:id="60" w:name="_Toc190764807"/>
      <w:r>
        <w:rPr>
          <w:sz w:val="20"/>
          <w:lang w:val="pt-BR"/>
        </w:rPr>
        <w:t xml:space="preserve">18. DA FORMA DE ENTREGA/EXECUÇÃO DO PRODUTO/SERVIÇO:</w:t>
      </w:r>
      <w:bookmarkEnd w:id="59"/>
      <w:r/>
      <w:bookmarkEnd w:id="60"/>
      <w:r/>
      <w:r>
        <w:rPr>
          <w:lang w:val="pt-BR"/>
        </w:rPr>
      </w:r>
    </w:p>
    <w:p w14:paraId="42AE83FC" w14:textId="77777777">
      <w:pPr>
        <w:pBdr/>
        <w:spacing/>
        <w:ind/>
        <w:jc w:val="both"/>
        <w:rPr>
          <w:rFonts w:ascii="Arial" w:cs="Arial"/>
          <w:b/>
        </w:rPr>
      </w:pPr>
      <w:r>
        <w:rPr>
          <w:rFonts w:ascii="Arial" w:cs="Arial"/>
          <w:b/>
        </w:rPr>
      </w:r>
      <w:r>
        <w:rPr>
          <w:rFonts w:ascii="Arial" w:cs="Arial"/>
          <w:b/>
        </w:rPr>
      </w:r>
    </w:p>
    <w:p w14:paraId="3C0A3FA0" w14:textId="105A4357">
      <w:pPr>
        <w:pBdr/>
        <w:spacing/>
        <w:ind/>
        <w:jc w:val="both"/>
        <w:rPr/>
      </w:pPr>
      <w:r>
        <w:rPr>
          <w:rFonts w:ascii="Arial" w:hAnsi="Arial" w:cs="Arial"/>
          <w:b/>
        </w:rPr>
        <w:t xml:space="preserve">18.1. </w:t>
      </w:r>
      <w:r>
        <w:rPr>
          <w:rFonts w:ascii="Arial" w:hAnsi="Arial" w:cs="Arial"/>
        </w:rPr>
        <w:t xml:space="preserve">O referido objeto será solicitado de forma parcial, o prazo para entrega no local indicado pelo Município de Rondonópolis dentro do perímetro urbano e será de até </w:t>
      </w:r>
      <w:r>
        <w:rPr>
          <w:rFonts w:ascii="Arial" w:hAnsi="Arial" w:cs="Arial"/>
        </w:rPr>
        <w:t xml:space="preserve">15</w:t>
      </w:r>
      <w:r>
        <w:rPr>
          <w:rFonts w:ascii="Arial" w:hAnsi="Arial" w:cs="Arial"/>
        </w:rPr>
        <w:t xml:space="preserve"> (</w:t>
      </w:r>
      <w:r>
        <w:rPr>
          <w:rFonts w:ascii="Arial" w:hAnsi="Arial" w:cs="Arial"/>
        </w:rPr>
        <w:t xml:space="preserve">quinze</w:t>
      </w:r>
      <w:r>
        <w:rPr>
          <w:rFonts w:ascii="Arial" w:hAnsi="Arial" w:cs="Arial"/>
        </w:rPr>
        <w:t xml:space="preserve">) d</w:t>
      </w:r>
      <w:r>
        <w:rPr>
          <w:rFonts w:ascii="Arial" w:hAnsi="Arial" w:cs="Arial"/>
        </w:rPr>
        <w:t xml:space="preserve">ias úteis, contados a partir do dia seguinte à data do recebimento da ordem de entrega, ou instrumento equivalente. Salvo se houver pedido formal de prorrogação deste, devidamente justificado pela licitante/contratada e acatado pela Secretaria solicitante;</w:t>
      </w:r>
      <w:r/>
    </w:p>
    <w:p w14:paraId="7037B83C" w14:textId="77777777">
      <w:pPr>
        <w:pBdr/>
        <w:spacing/>
        <w:ind/>
        <w:jc w:val="both"/>
        <w:rPr>
          <w:rFonts w:ascii="Arial" w:cs="Arial"/>
          <w:b/>
        </w:rPr>
      </w:pPr>
      <w:r>
        <w:rPr>
          <w:rFonts w:ascii="Arial" w:cs="Arial"/>
          <w:b/>
        </w:rPr>
      </w:r>
      <w:r>
        <w:rPr>
          <w:rFonts w:ascii="Arial" w:cs="Arial"/>
          <w:b/>
        </w:rPr>
      </w:r>
    </w:p>
    <w:p w14:paraId="24A3D135" w14:textId="77777777">
      <w:pPr>
        <w:pBdr/>
        <w:spacing/>
        <w:ind/>
        <w:jc w:val="both"/>
        <w:rPr/>
      </w:pPr>
      <w:r>
        <w:rPr>
          <w:rFonts w:ascii="Arial" w:hAnsi="Arial" w:cs="Arial"/>
          <w:b/>
        </w:rPr>
        <w:t xml:space="preserve">18.2. </w:t>
      </w:r>
      <w:r>
        <w:rPr>
          <w:rFonts w:ascii="Arial" w:hAnsi="Arial" w:cs="Arial"/>
        </w:rPr>
        <w:t xml:space="preserve">Os produtos/serviços entregues/ex</w:t>
      </w:r>
      <w:r>
        <w:rPr>
          <w:rFonts w:ascii="Arial" w:hAnsi="Arial" w:cs="Arial"/>
        </w:rPr>
        <w:t xml:space="preserve">ecutados serão recebidos provisoriamente e no prazo de até 5 (cinco) dias úteis, o responsável pelo acompanhamento e fiscalização do contrato, verificará sua conformidade com as especificações constantes neste Termo de Referência e a proposta apresentada. </w:t>
      </w:r>
      <w:r/>
    </w:p>
    <w:p w14:paraId="3B9D9806" w14:textId="77777777">
      <w:pPr>
        <w:pBdr/>
        <w:spacing/>
        <w:ind/>
        <w:jc w:val="both"/>
        <w:rPr>
          <w:rFonts w:ascii="Arial" w:cs="Arial"/>
          <w:b/>
        </w:rPr>
      </w:pPr>
      <w:r>
        <w:rPr>
          <w:rFonts w:ascii="Arial" w:cs="Arial"/>
          <w:b/>
        </w:rPr>
      </w:r>
      <w:r>
        <w:rPr>
          <w:rFonts w:ascii="Arial" w:cs="Arial"/>
          <w:b/>
        </w:rPr>
      </w:r>
    </w:p>
    <w:p w14:paraId="27DDF9BE" w14:textId="77777777">
      <w:pPr>
        <w:pBdr/>
        <w:spacing/>
        <w:ind/>
        <w:jc w:val="both"/>
        <w:rPr/>
      </w:pPr>
      <w:r>
        <w:rPr>
          <w:rFonts w:ascii="Arial" w:hAnsi="Arial" w:cs="Arial"/>
          <w:b/>
        </w:rPr>
        <w:t xml:space="preserve">18.2.1. </w:t>
      </w:r>
      <w:r>
        <w:rPr>
          <w:rFonts w:ascii="Arial" w:hAnsi="Arial" w:cs="Arial"/>
        </w:rPr>
        <w:t xml:space="preserve">Havendo desconformidade nos produtos/serviços entregues/executados esses poderão ser rejeitados, no todo ou em parte, quando em desacordo co</w:t>
      </w:r>
      <w:r>
        <w:rPr>
          <w:rFonts w:ascii="Arial" w:hAnsi="Arial" w:cs="Arial"/>
        </w:rPr>
        <w:t xml:space="preserve">m as especificações constantes neste Termo de Referência e da proposta, nesse caso, a contratante deverá substituí-los no prazo de até 5 (cinco) dias úteis, a contar da notificação da contratada, às suas custas, sem prejuízo da aplicação das penalidades.  </w:t>
      </w:r>
      <w:r/>
    </w:p>
    <w:p w14:paraId="09C2C684" w14:textId="77777777">
      <w:pPr>
        <w:pBdr/>
        <w:spacing/>
        <w:ind/>
        <w:jc w:val="both"/>
        <w:rPr>
          <w:rFonts w:ascii="Arial" w:cs="Arial"/>
          <w:b/>
        </w:rPr>
      </w:pPr>
      <w:r>
        <w:rPr>
          <w:rFonts w:ascii="Arial" w:cs="Arial"/>
          <w:b/>
        </w:rPr>
      </w:r>
      <w:r>
        <w:rPr>
          <w:rFonts w:ascii="Arial" w:cs="Arial"/>
          <w:b/>
        </w:rPr>
      </w:r>
    </w:p>
    <w:p w14:paraId="10467D4A" w14:textId="77777777">
      <w:pPr>
        <w:pBdr/>
        <w:spacing/>
        <w:ind/>
        <w:jc w:val="both"/>
        <w:rPr/>
      </w:pPr>
      <w:r>
        <w:rPr>
          <w:rFonts w:ascii="Arial" w:hAnsi="Arial" w:cs="Arial"/>
          <w:b/>
        </w:rPr>
        <w:t xml:space="preserve">18.2.3.</w:t>
      </w:r>
      <w:r>
        <w:rPr>
          <w:rFonts w:ascii="Arial" w:hAnsi="Arial" w:cs="Arial"/>
        </w:rPr>
        <w:t xml:space="preserve"> Portanto, quando houver necessidade de subst</w:t>
      </w:r>
      <w:r>
        <w:rPr>
          <w:rFonts w:ascii="Arial" w:hAnsi="Arial" w:cs="Arial"/>
        </w:rPr>
        <w:t xml:space="preserve">ituição dos produtos/serviços, quando da entrega desses passará a ser considerada recebimento provisório prazo de até 5 (cinco) dias úteis, para o responsável pelo acompanhamento e fiscalização do contrato, verificará sua conformidade conforme item (13.2).</w:t>
      </w:r>
      <w:r/>
    </w:p>
    <w:p w14:paraId="7B41305C" w14:textId="77777777">
      <w:pPr>
        <w:pBdr/>
        <w:spacing/>
        <w:ind/>
        <w:jc w:val="both"/>
        <w:rPr>
          <w:rFonts w:ascii="Arial" w:cs="Arial"/>
          <w:b/>
        </w:rPr>
      </w:pPr>
      <w:r>
        <w:rPr>
          <w:rFonts w:ascii="Arial" w:cs="Arial"/>
          <w:b/>
        </w:rPr>
      </w:r>
      <w:r>
        <w:rPr>
          <w:rFonts w:ascii="Arial" w:cs="Arial"/>
          <w:b/>
        </w:rPr>
      </w:r>
    </w:p>
    <w:p w14:paraId="0EE92745" w14:textId="77777777">
      <w:pPr>
        <w:pBdr/>
        <w:spacing/>
        <w:ind/>
        <w:jc w:val="both"/>
        <w:rPr/>
      </w:pPr>
      <w:r>
        <w:rPr>
          <w:rFonts w:ascii="Arial" w:hAnsi="Arial" w:cs="Arial"/>
          <w:b/>
        </w:rPr>
        <w:t xml:space="preserve">18.2.4. </w:t>
      </w:r>
      <w:r>
        <w:rPr>
          <w:rFonts w:ascii="Arial" w:hAnsi="Arial" w:cs="Arial"/>
        </w:rPr>
        <w:t xml:space="preserve">Os produtos/serviços serão recebidos definitivamente no prazo de até 5 (cinco) dias úteis, contados do recebimento provisório, após a verificação da qualidade e quantidade do material e consequente aceitação mediante termo circunstanciado</w:t>
      </w:r>
      <w:r>
        <w:rPr>
          <w:rFonts w:ascii="Arial" w:hAnsi="Arial" w:cs="Arial"/>
          <w:b/>
        </w:rPr>
        <w:t xml:space="preserve">. </w:t>
      </w:r>
      <w:r/>
    </w:p>
    <w:p w14:paraId="219440A2" w14:textId="77777777">
      <w:pPr>
        <w:pBdr/>
        <w:spacing/>
        <w:ind/>
        <w:jc w:val="both"/>
        <w:rPr>
          <w:rFonts w:ascii="Arial" w:cs="Arial"/>
          <w:b/>
        </w:rPr>
      </w:pPr>
      <w:r>
        <w:rPr>
          <w:rFonts w:ascii="Arial" w:cs="Arial"/>
          <w:b/>
        </w:rPr>
      </w:r>
      <w:r>
        <w:rPr>
          <w:rFonts w:ascii="Arial" w:cs="Arial"/>
          <w:b/>
        </w:rPr>
      </w:r>
    </w:p>
    <w:p w14:paraId="4F805407" w14:textId="77777777">
      <w:pPr>
        <w:pBdr/>
        <w:spacing/>
        <w:ind/>
        <w:jc w:val="both"/>
        <w:rPr/>
      </w:pPr>
      <w:r>
        <w:rPr>
          <w:rFonts w:ascii="Arial" w:hAnsi="Arial" w:cs="Arial"/>
          <w:b/>
        </w:rPr>
        <w:t xml:space="preserve">18.3. </w:t>
      </w:r>
      <w:r>
        <w:rPr>
          <w:rFonts w:ascii="Arial" w:hAnsi="Arial" w:cs="Arial"/>
        </w:rPr>
        <w:t xml:space="preserve">O recebimento provisório ou definitivo do objeto não exclui a responsabilidade da contratada pelos prejuízos resultantes da incorreta execução do contrato.</w:t>
      </w:r>
      <w:r/>
    </w:p>
    <w:p w14:paraId="09246DD5" w14:textId="77777777">
      <w:pPr>
        <w:pBdr/>
        <w:spacing/>
        <w:ind/>
        <w:jc w:val="both"/>
        <w:rPr>
          <w:rFonts w:ascii="Arial" w:cs="Arial"/>
          <w:b/>
        </w:rPr>
      </w:pPr>
      <w:r>
        <w:rPr>
          <w:rFonts w:ascii="Arial" w:cs="Arial"/>
          <w:b/>
        </w:rPr>
      </w:r>
      <w:r>
        <w:rPr>
          <w:rFonts w:ascii="Arial" w:cs="Arial"/>
          <w:b/>
        </w:rPr>
      </w:r>
    </w:p>
    <w:p w14:paraId="55963D53" w14:textId="77777777">
      <w:pPr>
        <w:pBdr/>
        <w:spacing/>
        <w:ind/>
        <w:jc w:val="both"/>
        <w:rPr/>
      </w:pPr>
      <w:r>
        <w:rPr>
          <w:rFonts w:ascii="Arial" w:hAnsi="Arial" w:cs="Arial"/>
          <w:b/>
        </w:rPr>
        <w:t xml:space="preserve">18.4. </w:t>
      </w:r>
      <w:r>
        <w:rPr>
          <w:rFonts w:ascii="Arial" w:hAnsi="Arial" w:cs="Arial"/>
        </w:rPr>
        <w:t xml:space="preserve">O fornecimento do referido objeto deverá atender as normas técnicas con</w:t>
      </w:r>
      <w:r>
        <w:rPr>
          <w:rFonts w:ascii="Arial" w:hAnsi="Arial" w:cs="Arial"/>
        </w:rPr>
        <w:t xml:space="preserve">tidas nas especificações deste documento, a entrega será de forma fracionada, conforme demanda através de solicitação devidamente identificada local de entrega, nome da pessoa da Secretaria de Infraestrutura que está solicitando com telefone para contato. </w:t>
      </w:r>
      <w:r/>
    </w:p>
    <w:p w14:paraId="7FBB74C9" w14:textId="77777777">
      <w:pPr>
        <w:pBdr/>
        <w:spacing/>
        <w:ind/>
        <w:jc w:val="both"/>
        <w:rPr>
          <w:rFonts w:ascii="Arial" w:cs="Arial"/>
          <w:b/>
        </w:rPr>
      </w:pPr>
      <w:r>
        <w:rPr>
          <w:rFonts w:ascii="Arial" w:cs="Arial"/>
          <w:b/>
        </w:rPr>
      </w:r>
      <w:r>
        <w:rPr>
          <w:rFonts w:ascii="Arial" w:cs="Arial"/>
          <w:b/>
        </w:rPr>
      </w:r>
    </w:p>
    <w:p w14:paraId="557C48D7" w14:textId="77777777">
      <w:pPr>
        <w:pBdr/>
        <w:spacing/>
        <w:ind/>
        <w:jc w:val="both"/>
        <w:rPr/>
      </w:pPr>
      <w:r>
        <w:rPr>
          <w:rFonts w:ascii="Arial" w:hAnsi="Arial" w:cs="Arial"/>
          <w:b/>
        </w:rPr>
        <w:t xml:space="preserve">18.5. </w:t>
      </w:r>
      <w:r>
        <w:rPr>
          <w:rFonts w:ascii="Arial" w:hAnsi="Arial" w:cs="Arial"/>
        </w:rPr>
        <w:t xml:space="preserve">No ato da entrega dos produtos/serviços a proponente deverá apresentar Nota Fiscal/Fatura corresponde às quantias solicitadas, que será submetida à aprovação do órgão responsável pelo recebimento.</w:t>
      </w:r>
      <w:r/>
    </w:p>
    <w:p w14:paraId="1C0349D5" w14:textId="77777777">
      <w:pPr>
        <w:pBdr/>
        <w:spacing/>
        <w:ind/>
        <w:jc w:val="both"/>
        <w:rPr>
          <w:rFonts w:ascii="Arial" w:cs="Arial"/>
          <w:b/>
        </w:rPr>
      </w:pPr>
      <w:r>
        <w:rPr>
          <w:rFonts w:ascii="Arial" w:cs="Arial"/>
          <w:b/>
        </w:rPr>
      </w:r>
      <w:r>
        <w:rPr>
          <w:rFonts w:ascii="Arial" w:cs="Arial"/>
          <w:b/>
        </w:rPr>
      </w:r>
    </w:p>
    <w:p w14:paraId="45342F2B" w14:textId="77777777">
      <w:pPr>
        <w:pBdr/>
        <w:spacing/>
        <w:ind/>
        <w:jc w:val="both"/>
        <w:rPr/>
      </w:pPr>
      <w:r>
        <w:rPr>
          <w:rFonts w:ascii="Arial" w:hAnsi="Arial" w:cs="Arial"/>
          <w:b/>
        </w:rPr>
        <w:t xml:space="preserve">18.5.1. </w:t>
      </w:r>
      <w:r>
        <w:rPr>
          <w:rFonts w:ascii="Arial" w:hAnsi="Arial" w:cs="Arial"/>
        </w:rPr>
        <w:t xml:space="preserve">Somente será encaminhada a nota fiscal para pagamento após o recebimento definitivo do objeto, que se dará em até 05 (cinco) dias úteis após o recebimento provisório.</w:t>
      </w:r>
      <w:r/>
    </w:p>
    <w:p w14:paraId="7E0266B3" w14:textId="77777777">
      <w:pPr>
        <w:pBdr/>
        <w:spacing/>
        <w:ind/>
        <w:jc w:val="both"/>
        <w:rPr>
          <w:rFonts w:ascii="Arial" w:cs="Arial"/>
          <w:b/>
        </w:rPr>
      </w:pPr>
      <w:r>
        <w:rPr>
          <w:rFonts w:ascii="Arial" w:cs="Arial"/>
          <w:b/>
        </w:rPr>
      </w:r>
      <w:r>
        <w:rPr>
          <w:rFonts w:ascii="Arial" w:cs="Arial"/>
          <w:b/>
        </w:rPr>
      </w:r>
    </w:p>
    <w:p w14:paraId="3D2AD850" w14:textId="77777777">
      <w:pPr>
        <w:pBdr/>
        <w:spacing/>
        <w:ind/>
        <w:jc w:val="both"/>
        <w:rPr/>
      </w:pPr>
      <w:r>
        <w:rPr>
          <w:rFonts w:ascii="Arial" w:hAnsi="Arial" w:cs="Arial"/>
          <w:b/>
        </w:rPr>
        <w:t xml:space="preserve">18.5.2. </w:t>
      </w:r>
      <w:r>
        <w:rPr>
          <w:rFonts w:ascii="Arial" w:hAnsi="Arial" w:cs="Arial"/>
        </w:rPr>
        <w:t xml:space="preserve">Portanto, o objeto será recebido provisoriamente, para efeito de posterior verificação da conformidade do que foi entregue com o que foi licitado e solicitado ao contratante;</w:t>
      </w:r>
      <w:r/>
    </w:p>
    <w:p w14:paraId="2FB9557F" w14:textId="77777777">
      <w:pPr>
        <w:pBdr/>
        <w:spacing/>
        <w:ind/>
        <w:jc w:val="both"/>
        <w:rPr>
          <w:rFonts w:ascii="Arial" w:cs="Arial"/>
          <w:b/>
        </w:rPr>
      </w:pPr>
      <w:r>
        <w:rPr>
          <w:rFonts w:ascii="Arial" w:cs="Arial"/>
          <w:b/>
        </w:rPr>
      </w:r>
      <w:r>
        <w:rPr>
          <w:rFonts w:ascii="Arial" w:cs="Arial"/>
          <w:b/>
        </w:rPr>
      </w:r>
    </w:p>
    <w:p w14:paraId="7411BA35" w14:textId="77777777">
      <w:pPr>
        <w:pBdr/>
        <w:spacing/>
        <w:ind/>
        <w:jc w:val="both"/>
        <w:rPr/>
      </w:pPr>
      <w:r>
        <w:rPr>
          <w:rFonts w:ascii="Arial" w:hAnsi="Arial" w:cs="Arial"/>
          <w:b/>
        </w:rPr>
        <w:t xml:space="preserve">18.5.3. </w:t>
      </w:r>
      <w:r>
        <w:rPr>
          <w:rFonts w:ascii="Arial" w:hAnsi="Arial" w:cs="Arial"/>
        </w:rPr>
        <w:t xml:space="preserve">Definitivamente, após a verificação da qualidade e quantidade do objeto entregue e a consequente aceitação.</w:t>
      </w:r>
      <w:r/>
    </w:p>
    <w:p w14:paraId="6721719F" w14:textId="77777777">
      <w:pPr>
        <w:pBdr/>
        <w:spacing/>
        <w:ind/>
        <w:jc w:val="both"/>
        <w:rPr>
          <w:rFonts w:ascii="Arial" w:cs="Arial"/>
          <w:b/>
        </w:rPr>
      </w:pPr>
      <w:r>
        <w:rPr>
          <w:rFonts w:ascii="Arial" w:cs="Arial"/>
          <w:b/>
        </w:rPr>
      </w:r>
      <w:r>
        <w:rPr>
          <w:rFonts w:ascii="Arial" w:cs="Arial"/>
          <w:b/>
        </w:rPr>
      </w:r>
    </w:p>
    <w:p w14:paraId="0910D009" w14:textId="77777777">
      <w:pPr>
        <w:pBdr/>
        <w:spacing/>
        <w:ind/>
        <w:jc w:val="both"/>
        <w:rPr/>
      </w:pPr>
      <w:r>
        <w:rPr>
          <w:rFonts w:ascii="Arial" w:hAnsi="Arial" w:cs="Arial"/>
          <w:b/>
        </w:rPr>
        <w:t xml:space="preserve">18.5.4. </w:t>
      </w:r>
      <w:r>
        <w:rPr>
          <w:rFonts w:ascii="Arial" w:hAnsi="Arial" w:cs="Arial"/>
        </w:rPr>
        <w:t xml:space="preserve">O recebimento não exclui a responsabilidade da Contratada pela perfeita entrega, ficando a mesma obrigada a substituir, no todo ou em parte, o produto que a qualquer tempo se verificarem vícios, defeitos ou incorreções.</w:t>
      </w:r>
      <w:r/>
    </w:p>
    <w:p w14:paraId="650992A1" w14:textId="77777777">
      <w:pPr>
        <w:pBdr/>
        <w:spacing/>
        <w:ind/>
        <w:jc w:val="both"/>
        <w:rPr>
          <w:rFonts w:ascii="Arial" w:cs="Arial"/>
          <w:b/>
        </w:rPr>
      </w:pPr>
      <w:r>
        <w:rPr>
          <w:rFonts w:ascii="Arial" w:cs="Arial"/>
          <w:b/>
        </w:rPr>
      </w:r>
      <w:r>
        <w:rPr>
          <w:rFonts w:ascii="Arial" w:cs="Arial"/>
          <w:b/>
        </w:rPr>
      </w:r>
    </w:p>
    <w:p w14:paraId="3B4B0E85" w14:textId="77777777">
      <w:pPr>
        <w:pBdr/>
        <w:spacing/>
        <w:ind/>
        <w:jc w:val="both"/>
        <w:rPr/>
      </w:pPr>
      <w:r>
        <w:rPr>
          <w:rFonts w:ascii="Arial" w:hAnsi="Arial" w:cs="Arial"/>
          <w:b/>
        </w:rPr>
        <w:t xml:space="preserve">18.6. </w:t>
      </w:r>
      <w:r>
        <w:rPr>
          <w:rFonts w:ascii="Arial" w:hAnsi="Arial" w:cs="Arial"/>
        </w:rPr>
        <w:t xml:space="preserve">Os produtos que forem recusados (tanto no recebimento provisório ou antes do recebimento definitivo) deverão ser substituídos no prazo de a</w:t>
      </w:r>
      <w:r>
        <w:rPr>
          <w:rFonts w:ascii="Arial" w:hAnsi="Arial" w:cs="Arial"/>
        </w:rPr>
        <w:t xml:space="preserve">cordo termo de referência, contados da data de notificação apresentada à fornecedora, salvo quando justificado a necessidade de prazo maior pela licitante/contratada, devendo este ser acatado pela Secretaria solicitante, sem qualquer ônus para o Município.</w:t>
      </w:r>
      <w:r/>
    </w:p>
    <w:p w14:paraId="4978CA99" w14:textId="77777777">
      <w:pPr>
        <w:pBdr/>
        <w:spacing/>
        <w:ind/>
        <w:jc w:val="both"/>
        <w:rPr>
          <w:rFonts w:ascii="Arial" w:cs="Arial"/>
          <w:b/>
        </w:rPr>
      </w:pPr>
      <w:r>
        <w:rPr>
          <w:rFonts w:ascii="Arial" w:cs="Arial"/>
          <w:b/>
        </w:rPr>
      </w:r>
      <w:r>
        <w:rPr>
          <w:rFonts w:ascii="Arial" w:cs="Arial"/>
          <w:b/>
        </w:rPr>
      </w:r>
    </w:p>
    <w:p w14:paraId="3A0137F5" w14:textId="77777777">
      <w:pPr>
        <w:pBdr/>
        <w:spacing/>
        <w:ind/>
        <w:jc w:val="both"/>
        <w:rPr/>
      </w:pPr>
      <w:r>
        <w:rPr>
          <w:rFonts w:ascii="Arial" w:hAnsi="Arial" w:cs="Arial"/>
          <w:b/>
        </w:rPr>
        <w:t xml:space="preserve">18.7. </w:t>
      </w:r>
      <w:r>
        <w:rPr>
          <w:rFonts w:ascii="Arial" w:hAnsi="Arial" w:cs="Arial"/>
        </w:rPr>
        <w:t xml:space="preserve">Se a substituição dos produtos entregues não for realizada no prazo estipulado, a contratada estará sujeita às sanções previstas no Edital, Termo de Referência, na Minuta do Contrato e na Lei.</w:t>
      </w:r>
      <w:r/>
    </w:p>
    <w:p w14:paraId="5BCC8CD1" w14:textId="77777777">
      <w:pPr>
        <w:pBdr/>
        <w:spacing/>
        <w:ind/>
        <w:jc w:val="both"/>
        <w:rPr>
          <w:rFonts w:ascii="Arial" w:cs="Arial"/>
          <w:b/>
        </w:rPr>
      </w:pPr>
      <w:r>
        <w:rPr>
          <w:rFonts w:ascii="Arial" w:cs="Arial"/>
          <w:b/>
        </w:rPr>
      </w:r>
      <w:r>
        <w:rPr>
          <w:rFonts w:ascii="Arial" w:cs="Arial"/>
          <w:b/>
        </w:rPr>
      </w:r>
    </w:p>
    <w:p w14:paraId="51430D75" w14:textId="77777777">
      <w:pPr>
        <w:pBdr/>
        <w:spacing/>
        <w:ind/>
        <w:jc w:val="both"/>
        <w:rPr/>
      </w:pPr>
      <w:r>
        <w:rPr>
          <w:rFonts w:ascii="Arial" w:hAnsi="Arial" w:cs="Arial"/>
          <w:b/>
        </w:rPr>
        <w:t xml:space="preserve">18.8.</w:t>
      </w:r>
      <w:r>
        <w:rPr>
          <w:rFonts w:ascii="Arial" w:hAnsi="Arial" w:cs="Arial"/>
        </w:rPr>
        <w:t xml:space="preserve"> Caso seja comprovad</w:t>
      </w:r>
      <w:r>
        <w:rPr>
          <w:rFonts w:ascii="Arial" w:hAnsi="Arial" w:cs="Arial"/>
        </w:rPr>
        <w:t xml:space="preserve">o que os produtos/serviços entregues/executados não estejam de acordo com as especificações do Edital, a fornecedora deverá ressarcir todos os custos com perícia à Administração, bem como os prejuízos e danos eventualmente causados à Administração Pública.</w:t>
      </w:r>
      <w:r/>
    </w:p>
    <w:p w14:paraId="1468320D" w14:textId="77777777">
      <w:pPr>
        <w:pBdr/>
        <w:spacing/>
        <w:ind/>
        <w:jc w:val="both"/>
        <w:rPr>
          <w:rFonts w:ascii="Arial" w:cs="Arial"/>
          <w:b/>
        </w:rPr>
      </w:pPr>
      <w:r>
        <w:rPr>
          <w:rFonts w:ascii="Arial" w:cs="Arial"/>
          <w:b/>
        </w:rPr>
      </w:r>
      <w:r>
        <w:rPr>
          <w:rFonts w:ascii="Arial" w:cs="Arial"/>
          <w:b/>
        </w:rPr>
      </w:r>
    </w:p>
    <w:p w14:paraId="7C54C974" w14:textId="77777777">
      <w:pPr>
        <w:pBdr/>
        <w:spacing/>
        <w:ind/>
        <w:jc w:val="both"/>
        <w:rPr/>
      </w:pPr>
      <w:r>
        <w:rPr>
          <w:rFonts w:ascii="Arial" w:hAnsi="Arial" w:cs="Arial"/>
          <w:b/>
        </w:rPr>
        <w:t xml:space="preserve">18.9.</w:t>
      </w:r>
      <w:r>
        <w:rPr>
          <w:rFonts w:ascii="Arial" w:hAnsi="Arial" w:cs="Arial"/>
        </w:rPr>
        <w:t xml:space="preserve"> O transporte dos itens licitados até sua e</w:t>
      </w:r>
      <w:r>
        <w:rPr>
          <w:rFonts w:ascii="Arial" w:hAnsi="Arial" w:cs="Arial"/>
        </w:rPr>
        <w:t xml:space="preserve">ntrega, conforme especificação constantes em edital e seus anexos, será de responsabilidade exclusiva do licitante vencedor, respondendo este por eventuais danos ou prejuízos causados ao Município de Rondonópolis-MT ou a terceiros durante o seu transporte;</w:t>
      </w:r>
      <w:r/>
    </w:p>
    <w:p w14:paraId="5BC151D6" w14:textId="77777777">
      <w:pPr>
        <w:pBdr/>
        <w:spacing/>
        <w:ind w:left="284"/>
        <w:jc w:val="both"/>
        <w:rPr>
          <w:rFonts w:ascii="Arial" w:cs="Arial"/>
          <w:b/>
          <w:color w:val="000000"/>
          <w:sz w:val="19"/>
          <w:szCs w:val="19"/>
        </w:rPr>
      </w:pPr>
      <w:r>
        <w:rPr>
          <w:rFonts w:ascii="Arial" w:cs="Arial"/>
          <w:b/>
          <w:color w:val="000000"/>
          <w:sz w:val="19"/>
          <w:szCs w:val="19"/>
        </w:rPr>
      </w:r>
      <w:r>
        <w:rPr>
          <w:rFonts w:ascii="Arial" w:cs="Arial"/>
          <w:b/>
          <w:color w:val="000000"/>
          <w:sz w:val="19"/>
          <w:szCs w:val="19"/>
        </w:rPr>
      </w:r>
    </w:p>
    <w:p w14:paraId="226D71C2" w14:textId="77777777">
      <w:pPr>
        <w:pBdr/>
        <w:spacing/>
        <w:ind/>
        <w:jc w:val="both"/>
        <w:rPr/>
      </w:pPr>
      <w:r>
        <w:rPr>
          <w:rFonts w:ascii="Arial" w:hAnsi="Arial" w:cs="Arial"/>
          <w:b/>
        </w:rPr>
        <w:t xml:space="preserve">18.10</w:t>
      </w:r>
      <w:r>
        <w:rPr>
          <w:rFonts w:ascii="Arial" w:hAnsi="Arial" w:cs="Arial"/>
        </w:rPr>
        <w:t xml:space="preserve">. O recebimento não excluirá a Adjudicatária da responsabilidade civil, nem ético profissional, pelo perfeito fornecimento do objeto, dentro dos limites estabelecidos pela Lei nº 14.133/2021; </w:t>
      </w:r>
      <w:r/>
    </w:p>
    <w:p w14:paraId="5BB1F259" w14:textId="77777777">
      <w:pPr>
        <w:pBdr/>
        <w:spacing/>
        <w:ind/>
        <w:jc w:val="both"/>
        <w:rPr>
          <w:rFonts w:ascii="Arial" w:cs="Arial"/>
          <w:b/>
        </w:rPr>
      </w:pPr>
      <w:r>
        <w:rPr>
          <w:rFonts w:ascii="Arial" w:cs="Arial"/>
          <w:b/>
        </w:rPr>
      </w:r>
      <w:r>
        <w:rPr>
          <w:rFonts w:ascii="Arial" w:cs="Arial"/>
          <w:b/>
        </w:rPr>
      </w:r>
    </w:p>
    <w:p w14:paraId="54AB1620" w14:textId="77777777">
      <w:pPr>
        <w:pBdr/>
        <w:spacing/>
        <w:ind/>
        <w:jc w:val="both"/>
        <w:rPr/>
      </w:pPr>
      <w:r>
        <w:rPr>
          <w:rFonts w:ascii="Arial" w:hAnsi="Arial" w:cs="Arial"/>
          <w:b/>
        </w:rPr>
        <w:t xml:space="preserve">18.11</w:t>
      </w:r>
      <w:r>
        <w:rPr>
          <w:rFonts w:ascii="Arial" w:hAnsi="Arial" w:cs="Arial"/>
        </w:rPr>
        <w:t xml:space="preserve">. A Adjudicatária ficará obrigada a corrigir, às suas expensas, no todo ou em parte, o objeto desta Licitação em que se verificarem vícios ou incorreções resultantes dos materiais fornecidos.</w:t>
      </w:r>
      <w:r/>
    </w:p>
    <w:p w14:paraId="427CA2A4" w14:textId="77777777">
      <w:pPr>
        <w:pBdr/>
        <w:spacing/>
        <w:ind/>
        <w:jc w:val="both"/>
        <w:rPr>
          <w:rFonts w:ascii="Arial" w:cs="Arial"/>
          <w:b/>
          <w:color w:val="000000"/>
        </w:rPr>
      </w:pPr>
      <w:r>
        <w:rPr>
          <w:rFonts w:ascii="Arial" w:cs="Arial"/>
          <w:b/>
          <w:color w:val="000000"/>
        </w:rPr>
      </w:r>
      <w:r>
        <w:rPr>
          <w:rFonts w:ascii="Arial" w:cs="Arial"/>
          <w:b/>
          <w:color w:val="000000"/>
        </w:rPr>
      </w:r>
    </w:p>
    <w:p w14:paraId="42783F53" w14:textId="77777777">
      <w:pPr>
        <w:pStyle w:val="873"/>
        <w:pBdr/>
        <w:spacing w:after="0" w:before="0"/>
        <w:ind/>
        <w:rPr>
          <w:lang w:val="pt-BR"/>
        </w:rPr>
      </w:pPr>
      <w:r/>
      <w:bookmarkStart w:id="61" w:name="_Toc190764808"/>
      <w:r/>
      <w:bookmarkStart w:id="62" w:name="_Toc19552"/>
      <w:r>
        <w:rPr>
          <w:sz w:val="20"/>
          <w:lang w:val="pt-BR"/>
        </w:rPr>
        <w:t xml:space="preserve">19. DA FORMA PARA O TRANSPORTE:</w:t>
      </w:r>
      <w:bookmarkEnd w:id="61"/>
      <w:r/>
      <w:bookmarkEnd w:id="62"/>
      <w:r/>
      <w:r>
        <w:rPr>
          <w:lang w:val="pt-BR"/>
        </w:rPr>
      </w:r>
    </w:p>
    <w:p w14:paraId="1A223383" w14:textId="77777777">
      <w:pPr>
        <w:pBdr/>
        <w:spacing/>
        <w:ind/>
        <w:jc w:val="both"/>
        <w:rPr>
          <w:rFonts w:ascii="Arial" w:cs="Arial"/>
          <w:b/>
        </w:rPr>
      </w:pPr>
      <w:r>
        <w:rPr>
          <w:rFonts w:ascii="Arial" w:cs="Arial"/>
          <w:b/>
        </w:rPr>
      </w:r>
      <w:r>
        <w:rPr>
          <w:rFonts w:ascii="Arial" w:cs="Arial"/>
          <w:b/>
        </w:rPr>
      </w:r>
    </w:p>
    <w:p w14:paraId="2D1EF2B2" w14:textId="77777777">
      <w:pPr>
        <w:pBdr/>
        <w:spacing/>
        <w:ind/>
        <w:jc w:val="both"/>
        <w:rPr/>
      </w:pPr>
      <w:r>
        <w:rPr>
          <w:rFonts w:ascii="Arial" w:hAnsi="Arial" w:cs="Arial"/>
          <w:b/>
        </w:rPr>
        <w:t xml:space="preserve">19.1.</w:t>
      </w:r>
      <w:r>
        <w:rPr>
          <w:rFonts w:ascii="Arial" w:hAnsi="Arial" w:cs="Arial"/>
        </w:rPr>
        <w:t xml:space="preserve"> O transporte dos itens licitados até sua e</w:t>
      </w:r>
      <w:r>
        <w:rPr>
          <w:rFonts w:ascii="Arial" w:hAnsi="Arial" w:cs="Arial"/>
        </w:rPr>
        <w:t xml:space="preserve">ntrega, conforme especificação constantes em edital e seus anexos, será de responsabilidade exclusiva do licitante vencedor, respondendo este por eventuais danos ou prejuízos causados ao Município de Rondonópolis-MT ou a terceiros durante o seu transporte;</w:t>
      </w:r>
      <w:r/>
    </w:p>
    <w:p w14:paraId="175162CB" w14:textId="77777777">
      <w:pPr>
        <w:pBdr/>
        <w:spacing/>
        <w:ind w:left="284"/>
        <w:jc w:val="both"/>
        <w:rPr>
          <w:rFonts w:ascii="Arial" w:cs="Arial"/>
          <w:b/>
          <w:color w:val="000000"/>
          <w:sz w:val="19"/>
          <w:szCs w:val="19"/>
        </w:rPr>
      </w:pPr>
      <w:r>
        <w:rPr>
          <w:rFonts w:ascii="Arial" w:cs="Arial"/>
          <w:b/>
          <w:color w:val="000000"/>
          <w:sz w:val="19"/>
          <w:szCs w:val="19"/>
        </w:rPr>
      </w:r>
      <w:r>
        <w:rPr>
          <w:rFonts w:ascii="Arial" w:cs="Arial"/>
          <w:b/>
          <w:color w:val="000000"/>
          <w:sz w:val="19"/>
          <w:szCs w:val="19"/>
        </w:rPr>
      </w:r>
    </w:p>
    <w:p w14:paraId="2847CE34" w14:textId="77777777">
      <w:pPr>
        <w:pBdr/>
        <w:spacing/>
        <w:ind/>
        <w:jc w:val="both"/>
        <w:rPr/>
      </w:pPr>
      <w:r>
        <w:rPr>
          <w:rFonts w:ascii="Arial" w:hAnsi="Arial" w:cs="Arial"/>
          <w:b/>
        </w:rPr>
        <w:t xml:space="preserve">19.2</w:t>
      </w:r>
      <w:r>
        <w:rPr>
          <w:rFonts w:ascii="Arial" w:hAnsi="Arial" w:cs="Arial"/>
        </w:rPr>
        <w:t xml:space="preserve">. O recebimento não excluirá a Adjudicatária da responsabilidade civil, nem ético profissional, pelo perfeito fornecimento do objeto, dentro dos limites estabelecidos pela Lei nº 14.133/2021; </w:t>
      </w:r>
      <w:r/>
    </w:p>
    <w:p w14:paraId="65BE6D2A" w14:textId="77777777">
      <w:pPr>
        <w:pBdr/>
        <w:spacing/>
        <w:ind/>
        <w:jc w:val="both"/>
        <w:rPr>
          <w:rFonts w:ascii="Arial" w:cs="Arial"/>
          <w:b/>
        </w:rPr>
      </w:pPr>
      <w:r>
        <w:rPr>
          <w:rFonts w:ascii="Arial" w:cs="Arial"/>
          <w:b/>
        </w:rPr>
      </w:r>
      <w:r>
        <w:rPr>
          <w:rFonts w:ascii="Arial" w:cs="Arial"/>
          <w:b/>
        </w:rPr>
      </w:r>
    </w:p>
    <w:p w14:paraId="556EE103" w14:textId="77777777">
      <w:pPr>
        <w:pBdr/>
        <w:spacing/>
        <w:ind/>
        <w:jc w:val="both"/>
        <w:rPr/>
      </w:pPr>
      <w:r>
        <w:rPr>
          <w:rFonts w:ascii="Arial" w:hAnsi="Arial" w:cs="Arial"/>
          <w:b/>
        </w:rPr>
        <w:t xml:space="preserve">19.3</w:t>
      </w:r>
      <w:r>
        <w:rPr>
          <w:rFonts w:ascii="Arial" w:hAnsi="Arial" w:cs="Arial"/>
        </w:rPr>
        <w:t xml:space="preserve">. A Adjudicatária ficará obrigada a corrigir, às suas expensas, no todo ou em parte, o objeto desta Licitação em que se verificarem vícios ou incorreções resultantes dos materiais fornecidos.</w:t>
      </w:r>
      <w:r/>
    </w:p>
    <w:p w14:paraId="19BB1A7E" w14:textId="77777777">
      <w:pPr>
        <w:pBdr/>
        <w:spacing/>
        <w:ind/>
        <w:jc w:val="both"/>
        <w:rPr>
          <w:rFonts w:ascii="Arial" w:cs="Arial"/>
          <w:b/>
          <w:color w:val="000000"/>
        </w:rPr>
      </w:pPr>
      <w:r>
        <w:rPr>
          <w:rFonts w:ascii="Arial" w:cs="Arial"/>
          <w:b/>
          <w:color w:val="000000"/>
        </w:rPr>
      </w:r>
      <w:r>
        <w:rPr>
          <w:rFonts w:ascii="Arial" w:cs="Arial"/>
          <w:b/>
          <w:color w:val="000000"/>
        </w:rPr>
      </w:r>
    </w:p>
    <w:p w14:paraId="39F4048D" w14:textId="77777777">
      <w:pPr>
        <w:pStyle w:val="873"/>
        <w:pBdr/>
        <w:spacing w:after="0" w:before="0"/>
        <w:ind/>
        <w:rPr>
          <w:lang w:val="pt-BR"/>
        </w:rPr>
      </w:pPr>
      <w:r/>
      <w:bookmarkStart w:id="63" w:name="_Toc190764809"/>
      <w:r/>
      <w:bookmarkStart w:id="64" w:name="_Toc19878"/>
      <w:r>
        <w:rPr>
          <w:sz w:val="20"/>
          <w:lang w:val="pt-BR"/>
        </w:rPr>
        <w:t xml:space="preserve">20. DA DOTAÇÃO ORÇAMENTÁRIA:</w:t>
      </w:r>
      <w:bookmarkEnd w:id="63"/>
      <w:r/>
      <w:bookmarkEnd w:id="64"/>
      <w:r>
        <w:rPr>
          <w:sz w:val="20"/>
          <w:lang w:val="pt-BR"/>
        </w:rPr>
        <w:t xml:space="preserve"> </w:t>
      </w:r>
      <w:r>
        <w:rPr>
          <w:lang w:val="pt-BR"/>
        </w:rPr>
      </w:r>
    </w:p>
    <w:p w14:paraId="615F7893" w14:textId="77777777">
      <w:pPr>
        <w:pBdr/>
        <w:spacing/>
        <w:ind w:left="284"/>
        <w:jc w:val="both"/>
        <w:rPr>
          <w:rFonts w:ascii="Arial" w:cs="Arial"/>
          <w:b/>
          <w:color w:val="000000"/>
        </w:rPr>
      </w:pPr>
      <w:r>
        <w:rPr>
          <w:rFonts w:ascii="Arial" w:cs="Arial"/>
          <w:b/>
          <w:color w:val="000000"/>
        </w:rPr>
      </w:r>
      <w:r>
        <w:rPr>
          <w:rFonts w:ascii="Arial" w:cs="Arial"/>
          <w:b/>
          <w:color w:val="000000"/>
        </w:rPr>
      </w:r>
    </w:p>
    <w:p w14:paraId="26A19A10" w14:textId="77777777">
      <w:pPr>
        <w:pBdr/>
        <w:spacing/>
        <w:ind/>
        <w:jc w:val="both"/>
        <w:rPr/>
      </w:pPr>
      <w:r>
        <w:rPr>
          <w:rFonts w:ascii="Arial" w:hAnsi="Arial" w:cs="Arial"/>
          <w:b/>
          <w:color w:val="000000"/>
        </w:rPr>
        <w:t xml:space="preserve">20.1.</w:t>
      </w:r>
      <w:r>
        <w:rPr>
          <w:rFonts w:ascii="Arial" w:hAnsi="Arial" w:cs="Arial"/>
          <w:color w:val="ff0000"/>
        </w:rPr>
        <w:t xml:space="preserve"> </w:t>
      </w:r>
      <w:r>
        <w:rPr>
          <w:rFonts w:ascii="Arial" w:hAnsi="Arial" w:cs="Arial"/>
          <w:color w:val="231f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cs="Arial"/>
          <w:color w:val="231f20"/>
          <w:sz w:val="21"/>
          <w:szCs w:val="21"/>
        </w:rPr>
        <w:t xml:space="preserve">§2º do </w:t>
      </w:r>
      <w:r>
        <w:rPr>
          <w:rFonts w:ascii="Arial" w:hAnsi="Arial" w:cs="Arial"/>
        </w:rPr>
        <w:t xml:space="preserve">Decreto Municipal 11.685/2023)</w:t>
      </w:r>
      <w:r/>
    </w:p>
    <w:p w14:paraId="20A0188E" w14:textId="77777777">
      <w:pPr>
        <w:pBdr/>
        <w:spacing/>
        <w:ind w:left="284"/>
        <w:jc w:val="both"/>
        <w:rPr>
          <w:rFonts w:ascii="Arial" w:cs="Arial"/>
          <w:b/>
        </w:rPr>
      </w:pPr>
      <w:r>
        <w:rPr>
          <w:rFonts w:ascii="Arial" w:cs="Arial"/>
          <w:b/>
        </w:rPr>
      </w:r>
      <w:r>
        <w:rPr>
          <w:rFonts w:ascii="Arial" w:cs="Arial"/>
          <w:b/>
        </w:rPr>
      </w:r>
    </w:p>
    <w:p w14:paraId="38DAB0AA" w14:textId="77777777">
      <w:pPr>
        <w:pStyle w:val="873"/>
        <w:pBdr/>
        <w:spacing w:after="0" w:before="0"/>
        <w:ind/>
        <w:rPr>
          <w:lang w:val="pt-BR"/>
        </w:rPr>
      </w:pPr>
      <w:r/>
      <w:bookmarkStart w:id="65" w:name="_Toc190764810"/>
      <w:r/>
      <w:bookmarkStart w:id="66" w:name="_Toc26358"/>
      <w:r>
        <w:rPr>
          <w:sz w:val="20"/>
          <w:lang w:val="pt-BR"/>
        </w:rPr>
        <w:t xml:space="preserve">21. DAS OBRIGAÇÕES DA CONTRATANTE:</w:t>
      </w:r>
      <w:bookmarkEnd w:id="65"/>
      <w:r/>
      <w:bookmarkEnd w:id="66"/>
      <w:r>
        <w:rPr>
          <w:sz w:val="20"/>
          <w:lang w:val="pt-BR"/>
        </w:rPr>
        <w:t xml:space="preserve"> </w:t>
      </w:r>
      <w:r>
        <w:rPr>
          <w:lang w:val="pt-BR"/>
        </w:rPr>
      </w:r>
    </w:p>
    <w:p w14:paraId="38B842A0" w14:textId="77777777">
      <w:pPr>
        <w:pBdr/>
        <w:spacing/>
        <w:ind w:left="284"/>
        <w:jc w:val="both"/>
        <w:rPr>
          <w:rFonts w:ascii="Arial" w:cs="Arial"/>
          <w:b/>
        </w:rPr>
      </w:pPr>
      <w:r>
        <w:rPr>
          <w:rFonts w:ascii="Arial" w:cs="Arial"/>
          <w:b/>
        </w:rPr>
      </w:r>
      <w:r>
        <w:rPr>
          <w:rFonts w:ascii="Arial" w:cs="Arial"/>
          <w:b/>
        </w:rPr>
      </w:r>
    </w:p>
    <w:p w14:paraId="0FE0B7F0" w14:textId="77777777">
      <w:pPr>
        <w:pBdr/>
        <w:spacing/>
        <w:ind/>
        <w:jc w:val="both"/>
        <w:rPr/>
      </w:pPr>
      <w:r>
        <w:rPr>
          <w:rFonts w:ascii="Arial" w:hAnsi="Arial" w:cs="Arial"/>
          <w:b/>
        </w:rPr>
        <w:t xml:space="preserve">21.1.</w:t>
      </w:r>
      <w:r>
        <w:rPr>
          <w:rFonts w:ascii="Arial" w:hAnsi="Arial" w:cs="Arial"/>
        </w:rPr>
        <w:t xml:space="preserve"> Notificar a licitante vencedora a assinar o contrato, ou outro documento equivalente, no prazo de até 05 (cinco) dias úteis e comunicar demais informações que achar pertinentes para o bom cumprimento do objeto; </w:t>
      </w:r>
      <w:r/>
    </w:p>
    <w:p w14:paraId="3AFD346D" w14:textId="77777777">
      <w:pPr>
        <w:pBdr/>
        <w:spacing/>
        <w:ind w:left="284"/>
        <w:jc w:val="both"/>
        <w:rPr>
          <w:rFonts w:ascii="Arial" w:cs="Arial"/>
          <w:b/>
        </w:rPr>
      </w:pPr>
      <w:r>
        <w:rPr>
          <w:rFonts w:ascii="Arial" w:cs="Arial"/>
          <w:b/>
        </w:rPr>
      </w:r>
      <w:r>
        <w:rPr>
          <w:rFonts w:ascii="Arial" w:cs="Arial"/>
          <w:b/>
        </w:rPr>
      </w:r>
    </w:p>
    <w:p w14:paraId="1ED102F4" w14:textId="77777777">
      <w:pPr>
        <w:pBdr/>
        <w:spacing/>
        <w:ind/>
        <w:jc w:val="both"/>
        <w:rPr/>
      </w:pPr>
      <w:r>
        <w:rPr>
          <w:rFonts w:ascii="Arial" w:hAnsi="Arial" w:cs="Arial"/>
          <w:b/>
        </w:rPr>
        <w:t xml:space="preserve">21.2.</w:t>
      </w:r>
      <w:r>
        <w:rPr>
          <w:rFonts w:ascii="Arial" w:hAnsi="Arial" w:cs="Arial"/>
        </w:rPr>
        <w:t xml:space="preserve"> Proporcionar todas as facilidades indispensáveis à boa execução das obrigações contratuais, inclusive permitindo o acesso de empregados, prepostos ou representantes da contratada em suas dependências, quando for o caso. </w:t>
      </w:r>
      <w:r/>
    </w:p>
    <w:p w14:paraId="536B1DCF" w14:textId="77777777">
      <w:pPr>
        <w:pBdr/>
        <w:spacing/>
        <w:ind w:left="284"/>
        <w:jc w:val="both"/>
        <w:rPr>
          <w:rFonts w:ascii="Arial" w:cs="Arial"/>
        </w:rPr>
      </w:pPr>
      <w:r>
        <w:rPr>
          <w:rFonts w:ascii="Arial" w:cs="Arial"/>
        </w:rPr>
      </w:r>
      <w:r>
        <w:rPr>
          <w:rFonts w:ascii="Arial" w:cs="Arial"/>
        </w:rPr>
      </w:r>
    </w:p>
    <w:p w14:paraId="4F637FDD" w14:textId="77777777">
      <w:pPr>
        <w:pBdr/>
        <w:spacing/>
        <w:ind/>
        <w:jc w:val="both"/>
        <w:rPr/>
      </w:pPr>
      <w:r>
        <w:rPr>
          <w:rFonts w:ascii="Arial" w:hAnsi="Arial" w:cs="Arial"/>
          <w:b/>
        </w:rPr>
        <w:t xml:space="preserve">21.3.</w:t>
      </w:r>
      <w:r>
        <w:rPr>
          <w:rFonts w:ascii="Arial" w:hAnsi="Arial" w:cs="Arial"/>
        </w:rPr>
        <w:t xml:space="preserve"> Rejeitar, no todo ou em parte, os itens entregues em desacordo com as obrigações assumidas pelo fornecedor. </w:t>
      </w:r>
      <w:r/>
    </w:p>
    <w:p w14:paraId="372D302E" w14:textId="77777777">
      <w:pPr>
        <w:pBdr/>
        <w:spacing/>
        <w:ind w:left="284"/>
        <w:jc w:val="both"/>
        <w:rPr>
          <w:rFonts w:ascii="Arial" w:cs="Arial"/>
        </w:rPr>
      </w:pPr>
      <w:r>
        <w:rPr>
          <w:rFonts w:ascii="Arial" w:cs="Arial"/>
        </w:rPr>
      </w:r>
      <w:r>
        <w:rPr>
          <w:rFonts w:ascii="Arial" w:cs="Arial"/>
        </w:rPr>
      </w:r>
    </w:p>
    <w:p w14:paraId="5B9E27F4" w14:textId="77777777">
      <w:pPr>
        <w:pBdr/>
        <w:spacing/>
        <w:ind/>
        <w:jc w:val="both"/>
        <w:rPr/>
      </w:pPr>
      <w:r>
        <w:rPr>
          <w:rFonts w:ascii="Arial" w:hAnsi="Arial" w:cs="Arial"/>
          <w:b/>
        </w:rPr>
        <w:t xml:space="preserve">21.4.</w:t>
      </w:r>
      <w:r>
        <w:rPr>
          <w:rFonts w:ascii="Arial" w:hAnsi="Arial" w:cs="Arial"/>
        </w:rPr>
        <w:t xml:space="preserve"> Notificar a CONTRATADA de qualquer irregularidade encontrada nos produtos fornecidos. </w:t>
      </w:r>
      <w:r/>
    </w:p>
    <w:p w14:paraId="5D6FB446" w14:textId="77777777">
      <w:pPr>
        <w:pBdr/>
        <w:spacing/>
        <w:ind w:left="284"/>
        <w:jc w:val="both"/>
        <w:rPr>
          <w:rFonts w:ascii="Arial" w:cs="Arial"/>
        </w:rPr>
      </w:pPr>
      <w:r>
        <w:rPr>
          <w:rFonts w:ascii="Arial" w:cs="Arial"/>
        </w:rPr>
      </w:r>
      <w:r>
        <w:rPr>
          <w:rFonts w:ascii="Arial" w:cs="Arial"/>
        </w:rPr>
      </w:r>
    </w:p>
    <w:p w14:paraId="2163CC34" w14:textId="77777777">
      <w:pPr>
        <w:pBdr/>
        <w:spacing/>
        <w:ind/>
        <w:jc w:val="both"/>
        <w:rPr/>
      </w:pPr>
      <w:r>
        <w:rPr>
          <w:rFonts w:ascii="Arial" w:hAnsi="Arial" w:cs="Arial"/>
          <w:b/>
        </w:rPr>
        <w:t xml:space="preserve">21.5.</w:t>
      </w:r>
      <w:r>
        <w:rPr>
          <w:rFonts w:ascii="Arial" w:hAnsi="Arial" w:cs="Arial"/>
        </w:rPr>
        <w:t xml:space="preserve"> Efetuar o pagamento á CONTRATADA, nas condições estabelecidas no edital. </w:t>
      </w:r>
      <w:r/>
    </w:p>
    <w:p w14:paraId="0C9DBA84" w14:textId="77777777">
      <w:pPr>
        <w:pBdr/>
        <w:spacing/>
        <w:ind w:left="284"/>
        <w:jc w:val="both"/>
        <w:rPr>
          <w:rFonts w:ascii="Arial" w:cs="Arial"/>
        </w:rPr>
      </w:pPr>
      <w:r>
        <w:rPr>
          <w:rFonts w:ascii="Arial" w:cs="Arial"/>
        </w:rPr>
      </w:r>
      <w:r>
        <w:rPr>
          <w:rFonts w:ascii="Arial" w:cs="Arial"/>
        </w:rPr>
      </w:r>
    </w:p>
    <w:p w14:paraId="1A090258" w14:textId="77777777">
      <w:pPr>
        <w:pBdr/>
        <w:spacing/>
        <w:ind/>
        <w:jc w:val="both"/>
        <w:rPr/>
      </w:pPr>
      <w:r>
        <w:rPr>
          <w:rFonts w:ascii="Arial" w:hAnsi="Arial" w:cs="Arial"/>
          <w:b/>
        </w:rPr>
        <w:t xml:space="preserve">21.6.</w:t>
      </w:r>
      <w:r>
        <w:rPr>
          <w:rFonts w:ascii="Arial" w:hAnsi="Arial" w:cs="Arial"/>
        </w:rPr>
        <w:t xml:space="preserve"> Nenhum pagamento será efetuado à empresa adjudicatária, enquanto pendente de liquidação qualquer obrigação. Esse fato não será gerador de direito a reajustamento de preços ou a atualização monetária. </w:t>
      </w:r>
      <w:r/>
    </w:p>
    <w:p w14:paraId="66AB99C5" w14:textId="77777777">
      <w:pPr>
        <w:pBdr/>
        <w:spacing/>
        <w:ind w:left="284"/>
        <w:jc w:val="both"/>
        <w:rPr>
          <w:rFonts w:ascii="Arial" w:cs="Arial"/>
        </w:rPr>
      </w:pPr>
      <w:r>
        <w:rPr>
          <w:rFonts w:ascii="Arial" w:cs="Arial"/>
        </w:rPr>
      </w:r>
      <w:r>
        <w:rPr>
          <w:rFonts w:ascii="Arial" w:cs="Arial"/>
        </w:rPr>
      </w:r>
    </w:p>
    <w:p w14:paraId="6037166C" w14:textId="77777777">
      <w:pPr>
        <w:pBdr/>
        <w:spacing/>
        <w:ind/>
        <w:jc w:val="both"/>
        <w:rPr/>
      </w:pPr>
      <w:r>
        <w:rPr>
          <w:rFonts w:ascii="Arial" w:hAnsi="Arial" w:cs="Arial"/>
          <w:b/>
        </w:rPr>
        <w:t xml:space="preserve">21.7.</w:t>
      </w:r>
      <w:r>
        <w:rPr>
          <w:rFonts w:ascii="Arial" w:hAnsi="Arial" w:cs="Arial"/>
        </w:rPr>
        <w:t xml:space="preserve"> Não haverá, sob hipótese alguma, pagamento antecipado. </w:t>
      </w:r>
      <w:r/>
    </w:p>
    <w:p w14:paraId="3C6410BD" w14:textId="77777777">
      <w:pPr>
        <w:pBdr/>
        <w:spacing/>
        <w:ind w:left="284"/>
        <w:jc w:val="both"/>
        <w:rPr>
          <w:rFonts w:ascii="Arial" w:cs="Arial"/>
        </w:rPr>
      </w:pPr>
      <w:r>
        <w:rPr>
          <w:rFonts w:ascii="Arial" w:cs="Arial"/>
        </w:rPr>
      </w:r>
      <w:r>
        <w:rPr>
          <w:rFonts w:ascii="Arial" w:cs="Arial"/>
        </w:rPr>
      </w:r>
    </w:p>
    <w:p w14:paraId="65E304E4" w14:textId="77777777">
      <w:pPr>
        <w:pBdr/>
        <w:spacing/>
        <w:ind/>
        <w:jc w:val="both"/>
        <w:rPr/>
      </w:pPr>
      <w:r>
        <w:rPr>
          <w:rFonts w:ascii="Arial" w:hAnsi="Arial" w:cs="Arial"/>
          <w:b/>
        </w:rPr>
        <w:t xml:space="preserve">21.8.</w:t>
      </w:r>
      <w:r>
        <w:rPr>
          <w:rFonts w:ascii="Arial" w:hAnsi="Arial" w:cs="Arial"/>
        </w:rPr>
        <w:t xml:space="preserve"> Coordenar e fiscalizar a entrega dos produtos/serviços pertinente à aquisição ou serviços prestados. </w:t>
      </w:r>
      <w:r/>
    </w:p>
    <w:p w14:paraId="513F7DB0" w14:textId="77777777">
      <w:pPr>
        <w:pBdr/>
        <w:spacing/>
        <w:ind w:left="284"/>
        <w:jc w:val="both"/>
        <w:rPr>
          <w:rFonts w:ascii="Arial" w:cs="Arial"/>
        </w:rPr>
      </w:pPr>
      <w:r>
        <w:rPr>
          <w:rFonts w:ascii="Arial" w:cs="Arial"/>
        </w:rPr>
      </w:r>
      <w:r>
        <w:rPr>
          <w:rFonts w:ascii="Arial" w:cs="Arial"/>
        </w:rPr>
      </w:r>
    </w:p>
    <w:p w14:paraId="0BC5A122" w14:textId="77777777">
      <w:pPr>
        <w:pBdr/>
        <w:spacing/>
        <w:ind/>
        <w:jc w:val="both"/>
        <w:rPr/>
      </w:pPr>
      <w:r>
        <w:rPr>
          <w:rFonts w:ascii="Arial" w:hAnsi="Arial" w:cs="Arial"/>
          <w:b/>
        </w:rPr>
        <w:t xml:space="preserve">21.9.</w:t>
      </w:r>
      <w:r>
        <w:rPr>
          <w:rFonts w:ascii="Arial" w:hAnsi="Arial" w:cs="Arial"/>
        </w:rPr>
        <w:t xml:space="preserve"> Prestar as informações e os esclarecimentos que fizerem necessários.</w:t>
      </w:r>
      <w:r/>
    </w:p>
    <w:p w14:paraId="37C340D0" w14:textId="77777777">
      <w:pPr>
        <w:pBdr/>
        <w:spacing/>
        <w:ind w:left="284"/>
        <w:jc w:val="both"/>
        <w:rPr>
          <w:rFonts w:ascii="Arial" w:cs="Arial"/>
        </w:rPr>
      </w:pPr>
      <w:r>
        <w:rPr>
          <w:rFonts w:ascii="Arial" w:cs="Arial"/>
        </w:rPr>
      </w:r>
      <w:r>
        <w:rPr>
          <w:rFonts w:ascii="Arial" w:cs="Arial"/>
        </w:rPr>
      </w:r>
    </w:p>
    <w:p w14:paraId="589A2C86" w14:textId="77777777">
      <w:pPr>
        <w:pStyle w:val="873"/>
        <w:pBdr/>
        <w:spacing w:after="0" w:before="0"/>
        <w:ind/>
        <w:rPr>
          <w:lang w:val="pt-BR"/>
        </w:rPr>
      </w:pPr>
      <w:r/>
      <w:bookmarkStart w:id="67" w:name="_Toc190764811"/>
      <w:r/>
      <w:bookmarkStart w:id="68" w:name="_Toc18703"/>
      <w:r>
        <w:rPr>
          <w:sz w:val="20"/>
          <w:lang w:val="pt-BR"/>
        </w:rPr>
        <w:t xml:space="preserve">22. DAS OBRIGAÇÕES E RESPONSABILIDADES DA CONTRATADA:</w:t>
      </w:r>
      <w:bookmarkEnd w:id="67"/>
      <w:r/>
      <w:bookmarkEnd w:id="68"/>
      <w:r/>
      <w:r>
        <w:rPr>
          <w:lang w:val="pt-BR"/>
        </w:rPr>
      </w:r>
    </w:p>
    <w:p w14:paraId="2DAAFD07" w14:textId="77777777">
      <w:pPr>
        <w:pBdr/>
        <w:spacing/>
        <w:ind w:left="284"/>
        <w:jc w:val="both"/>
        <w:rPr>
          <w:rFonts w:ascii="Arial" w:cs="Arial"/>
          <w:b/>
        </w:rPr>
      </w:pPr>
      <w:r>
        <w:rPr>
          <w:rFonts w:ascii="Arial" w:cs="Arial"/>
          <w:b/>
        </w:rPr>
      </w:r>
      <w:r>
        <w:rPr>
          <w:rFonts w:ascii="Arial" w:cs="Arial"/>
          <w:b/>
        </w:rPr>
      </w:r>
    </w:p>
    <w:p w14:paraId="13B9C20C" w14:textId="77777777">
      <w:pPr>
        <w:pBdr/>
        <w:spacing/>
        <w:ind/>
        <w:jc w:val="both"/>
        <w:rPr/>
      </w:pPr>
      <w:r>
        <w:rPr>
          <w:rFonts w:ascii="Arial" w:hAnsi="Arial" w:cs="Arial"/>
          <w:b/>
        </w:rPr>
        <w:t xml:space="preserve">22.1.</w:t>
      </w:r>
      <w:r>
        <w:rPr>
          <w:rFonts w:ascii="Arial" w:hAnsi="Arial" w:cs="Arial"/>
        </w:rPr>
        <w:t xml:space="preserve"> Após a homologação da licitação, comparecer a Prefeitura Municipal para assinatura do contrato, ou outro documento equivalente, em até 05 (cinco) dias úteis, contados do recebimento da convocação formal; </w:t>
      </w:r>
      <w:r/>
    </w:p>
    <w:p w14:paraId="58560B4B" w14:textId="77777777">
      <w:pPr>
        <w:pBdr/>
        <w:spacing/>
        <w:ind w:left="284"/>
        <w:jc w:val="both"/>
        <w:rPr>
          <w:rFonts w:ascii="Arial" w:cs="Arial"/>
        </w:rPr>
      </w:pPr>
      <w:r>
        <w:rPr>
          <w:rFonts w:ascii="Arial" w:cs="Arial"/>
        </w:rPr>
      </w:r>
      <w:r>
        <w:rPr>
          <w:rFonts w:ascii="Arial" w:cs="Arial"/>
        </w:rPr>
      </w:r>
    </w:p>
    <w:p w14:paraId="77FC1A47" w14:textId="77777777">
      <w:pPr>
        <w:pBdr/>
        <w:spacing/>
        <w:ind/>
        <w:jc w:val="both"/>
        <w:rPr/>
      </w:pPr>
      <w:r>
        <w:rPr>
          <w:rFonts w:ascii="Arial" w:hAnsi="Arial" w:cs="Arial"/>
          <w:b/>
        </w:rPr>
        <w:t xml:space="preserve">22.2. </w:t>
      </w:r>
      <w:r>
        <w:rPr>
          <w:rFonts w:ascii="Arial" w:hAnsi="Arial" w:cs="Arial"/>
        </w:rPr>
        <w:t xml:space="preserve">A Administração, ao in</w:t>
      </w:r>
      <w:r>
        <w:rPr>
          <w:rFonts w:ascii="Arial" w:hAnsi="Arial" w:cs="Arial"/>
        </w:rPr>
        <w:t xml:space="preserve">vés de convocar o adjudicatário, poderá encaminhá-lo, o instrumento contratual, mediante correspondência postal com aviso de recebimento (AR) ou meio eletrônico, para que seja assinado no prazo de 03 (três) dias úteis, a contar da data de seu recebimento. </w:t>
      </w:r>
      <w:r/>
    </w:p>
    <w:p w14:paraId="1D89146D" w14:textId="77777777">
      <w:pPr>
        <w:pBdr/>
        <w:spacing/>
        <w:ind w:left="284"/>
        <w:jc w:val="both"/>
        <w:rPr>
          <w:rFonts w:ascii="Arial" w:cs="Arial"/>
        </w:rPr>
      </w:pPr>
      <w:r>
        <w:rPr>
          <w:rFonts w:ascii="Arial" w:cs="Arial"/>
        </w:rPr>
      </w:r>
      <w:r>
        <w:rPr>
          <w:rFonts w:ascii="Arial" w:cs="Arial"/>
        </w:rPr>
      </w:r>
    </w:p>
    <w:p w14:paraId="2EE14C2D" w14:textId="77777777">
      <w:pPr>
        <w:pBdr/>
        <w:spacing/>
        <w:ind/>
        <w:jc w:val="both"/>
        <w:rPr/>
      </w:pPr>
      <w:r>
        <w:rPr>
          <w:rFonts w:ascii="Arial" w:hAnsi="Arial" w:cs="Arial"/>
          <w:b/>
        </w:rPr>
        <w:t xml:space="preserve">22.3. </w:t>
      </w:r>
      <w:r>
        <w:rPr>
          <w:rFonts w:ascii="Arial" w:hAnsi="Arial" w:cs="Arial"/>
        </w:rPr>
        <w:t xml:space="preserve">O prazo previsto no subitem anterior poderá ser prorrogado, por igual período, por solicitação justificada do adjudicatário e aceita pela Administração.</w:t>
      </w:r>
      <w:r/>
    </w:p>
    <w:p w14:paraId="14342521" w14:textId="77777777">
      <w:pPr>
        <w:pBdr/>
        <w:spacing/>
        <w:ind w:left="284"/>
        <w:jc w:val="both"/>
        <w:rPr>
          <w:rFonts w:ascii="Arial" w:cs="Arial"/>
        </w:rPr>
      </w:pPr>
      <w:r>
        <w:rPr>
          <w:rFonts w:ascii="Arial" w:cs="Arial"/>
        </w:rPr>
      </w:r>
      <w:r>
        <w:rPr>
          <w:rFonts w:ascii="Arial" w:cs="Arial"/>
        </w:rPr>
      </w:r>
    </w:p>
    <w:p w14:paraId="2F81211B" w14:textId="77777777">
      <w:pPr>
        <w:pBdr/>
        <w:spacing/>
        <w:ind/>
        <w:jc w:val="both"/>
        <w:rPr/>
      </w:pPr>
      <w:r>
        <w:rPr>
          <w:rFonts w:ascii="Arial" w:hAnsi="Arial" w:cs="Arial"/>
          <w:b/>
        </w:rPr>
        <w:t xml:space="preserve">22.4.</w:t>
      </w:r>
      <w:r>
        <w:rPr>
          <w:rFonts w:ascii="Arial" w:hAnsi="Arial" w:cs="Arial"/>
        </w:rPr>
        <w:t xml:space="preserve"> Executar o fornecimento dentro dos padrões estabelecidos pela administração, de acordo com a especificação do Edital, responsabilizando-se por eventuais prejuízos decorrentes do descumprimento de condição estabelecida; </w:t>
      </w:r>
      <w:r/>
    </w:p>
    <w:p w14:paraId="07DFD28B" w14:textId="77777777">
      <w:pPr>
        <w:pBdr/>
        <w:spacing/>
        <w:ind w:left="284"/>
        <w:jc w:val="both"/>
        <w:rPr>
          <w:rFonts w:ascii="Arial" w:cs="Arial"/>
          <w:b/>
        </w:rPr>
      </w:pPr>
      <w:r>
        <w:rPr>
          <w:rFonts w:ascii="Arial" w:cs="Arial"/>
          <w:b/>
        </w:rPr>
      </w:r>
      <w:r>
        <w:rPr>
          <w:rFonts w:ascii="Arial" w:cs="Arial"/>
          <w:b/>
        </w:rPr>
      </w:r>
    </w:p>
    <w:p w14:paraId="309CC7C8" w14:textId="77777777">
      <w:pPr>
        <w:pBdr/>
        <w:spacing/>
        <w:ind/>
        <w:jc w:val="both"/>
        <w:rPr/>
      </w:pPr>
      <w:r>
        <w:rPr>
          <w:rFonts w:ascii="Arial" w:hAnsi="Arial" w:cs="Arial"/>
          <w:b/>
        </w:rPr>
        <w:t xml:space="preserve">22.5.</w:t>
      </w:r>
      <w:r>
        <w:rPr>
          <w:rFonts w:ascii="Arial" w:hAnsi="Arial" w:cs="Arial"/>
        </w:rPr>
        <w:t xml:space="preserve"> Dispor-se a toda e qualquer fiscalização da CONTRATANTE, no tocante ao fornecimento do objeto licitado, assim como ao cumprimento das obrigações previstas na ata de registro de preços;</w:t>
      </w:r>
      <w:r/>
    </w:p>
    <w:p w14:paraId="09A920B9" w14:textId="77777777">
      <w:pPr>
        <w:pBdr/>
        <w:spacing/>
        <w:ind w:left="284"/>
        <w:jc w:val="both"/>
        <w:rPr>
          <w:rFonts w:ascii="Arial" w:cs="Arial"/>
        </w:rPr>
      </w:pPr>
      <w:r>
        <w:rPr>
          <w:rFonts w:ascii="Arial" w:cs="Arial"/>
        </w:rPr>
      </w:r>
      <w:r>
        <w:rPr>
          <w:rFonts w:ascii="Arial" w:cs="Arial"/>
        </w:rPr>
      </w:r>
    </w:p>
    <w:p w14:paraId="3858FD40" w14:textId="77777777">
      <w:pPr>
        <w:pBdr/>
        <w:spacing/>
        <w:ind/>
        <w:jc w:val="both"/>
        <w:rPr/>
      </w:pPr>
      <w:r>
        <w:rPr>
          <w:rFonts w:ascii="Arial" w:hAnsi="Arial" w:cs="Arial"/>
          <w:b/>
        </w:rPr>
        <w:t xml:space="preserve">22.6.</w:t>
      </w:r>
      <w:r>
        <w:rPr>
          <w:rFonts w:ascii="Arial" w:hAnsi="Arial" w:cs="Arial"/>
        </w:rPr>
        <w:t xml:space="preserve"> Prover todos os meios necessários à garantia da plena operacionalidade do fornecimento, inclusive considerados os casos de greve ou paralisação de qualquer natureza; </w:t>
      </w:r>
      <w:r/>
    </w:p>
    <w:p w14:paraId="48F841E3" w14:textId="77777777">
      <w:pPr>
        <w:pBdr/>
        <w:spacing/>
        <w:ind w:left="284"/>
        <w:jc w:val="both"/>
        <w:rPr>
          <w:rFonts w:ascii="Arial" w:cs="Arial"/>
        </w:rPr>
      </w:pPr>
      <w:r>
        <w:rPr>
          <w:rFonts w:ascii="Arial" w:cs="Arial"/>
        </w:rPr>
      </w:r>
      <w:r>
        <w:rPr>
          <w:rFonts w:ascii="Arial" w:cs="Arial"/>
        </w:rPr>
      </w:r>
    </w:p>
    <w:p w14:paraId="77047FCC" w14:textId="77777777">
      <w:pPr>
        <w:pBdr/>
        <w:spacing/>
        <w:ind/>
        <w:jc w:val="both"/>
        <w:rPr/>
      </w:pPr>
      <w:r>
        <w:rPr>
          <w:rFonts w:ascii="Arial" w:hAnsi="Arial" w:cs="Arial"/>
          <w:b/>
        </w:rPr>
        <w:t xml:space="preserve">22.7.</w:t>
      </w:r>
      <w:r>
        <w:rPr>
          <w:rFonts w:ascii="Arial" w:hAnsi="Arial" w:cs="Arial"/>
        </w:rPr>
        <w:t xml:space="preserve"> O atraso na entrega do objeto licitado no</w:t>
      </w:r>
      <w:r>
        <w:rPr>
          <w:rFonts w:ascii="Arial" w:hAnsi="Arial" w:cs="Arial"/>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p>
    <w:p w14:paraId="02A7A941" w14:textId="77777777">
      <w:pPr>
        <w:pBdr/>
        <w:spacing/>
        <w:ind w:left="284"/>
        <w:jc w:val="both"/>
        <w:rPr>
          <w:rFonts w:ascii="Arial" w:cs="Arial"/>
        </w:rPr>
      </w:pPr>
      <w:r>
        <w:rPr>
          <w:rFonts w:ascii="Arial" w:cs="Arial"/>
        </w:rPr>
      </w:r>
      <w:r>
        <w:rPr>
          <w:rFonts w:ascii="Arial" w:cs="Arial"/>
        </w:rPr>
      </w:r>
    </w:p>
    <w:p w14:paraId="7514C4B4" w14:textId="77777777">
      <w:pPr>
        <w:pBdr/>
        <w:spacing/>
        <w:ind/>
        <w:jc w:val="both"/>
        <w:rPr/>
      </w:pPr>
      <w:r>
        <w:rPr>
          <w:rFonts w:ascii="Arial" w:hAnsi="Arial" w:cs="Arial"/>
          <w:b/>
        </w:rPr>
        <w:t xml:space="preserve">22.8.</w:t>
      </w:r>
      <w:r>
        <w:rPr>
          <w:rFonts w:ascii="Arial" w:hAnsi="Arial" w:cs="Arial"/>
        </w:rPr>
        <w:t xml:space="preserve"> Comunicar imediatamente à CONTRATANTE qualquer alteração ocorrida no endereço, conta bancária e outros dados julgáveis necessários para recebimento de correspondência; </w:t>
      </w:r>
      <w:r/>
    </w:p>
    <w:p w14:paraId="38CB2009" w14:textId="77777777">
      <w:pPr>
        <w:pBdr/>
        <w:spacing/>
        <w:ind w:left="284"/>
        <w:jc w:val="both"/>
        <w:rPr>
          <w:rFonts w:ascii="Arial" w:cs="Arial"/>
        </w:rPr>
      </w:pPr>
      <w:r>
        <w:rPr>
          <w:rFonts w:ascii="Arial" w:cs="Arial"/>
        </w:rPr>
      </w:r>
      <w:r>
        <w:rPr>
          <w:rFonts w:ascii="Arial" w:cs="Arial"/>
        </w:rPr>
      </w:r>
    </w:p>
    <w:p w14:paraId="6398C060" w14:textId="77777777">
      <w:pPr>
        <w:pBdr/>
        <w:spacing/>
        <w:ind/>
        <w:jc w:val="both"/>
        <w:rPr/>
      </w:pPr>
      <w:r>
        <w:rPr>
          <w:rFonts w:ascii="Arial" w:hAnsi="Arial" w:cs="Arial"/>
          <w:b/>
        </w:rPr>
        <w:t xml:space="preserve">22.9.</w:t>
      </w:r>
      <w:r>
        <w:rPr>
          <w:rFonts w:ascii="Arial" w:hAnsi="Arial" w:cs="Arial"/>
        </w:rPr>
        <w:t xml:space="preserve"> Fiscalizar o perfeito cumprimento do fornecimento a que se obrigou, cabendo-lhe, integralmente, os ônus decorrentes. Tal fiscalização dar-se-á independentemente da que será exercida pela CONTRATANTE; </w:t>
      </w:r>
      <w:r/>
    </w:p>
    <w:p w14:paraId="76190B2C" w14:textId="77777777">
      <w:pPr>
        <w:pBdr/>
        <w:spacing/>
        <w:ind w:left="284"/>
        <w:jc w:val="both"/>
        <w:rPr>
          <w:rFonts w:ascii="Arial" w:cs="Arial"/>
        </w:rPr>
      </w:pPr>
      <w:r>
        <w:rPr>
          <w:rFonts w:ascii="Arial" w:cs="Arial"/>
        </w:rPr>
      </w:r>
      <w:r>
        <w:rPr>
          <w:rFonts w:ascii="Arial" w:cs="Arial"/>
        </w:rPr>
      </w:r>
    </w:p>
    <w:p w14:paraId="39CE9131" w14:textId="77777777">
      <w:pPr>
        <w:pBdr/>
        <w:spacing/>
        <w:ind/>
        <w:jc w:val="both"/>
        <w:rPr/>
      </w:pPr>
      <w:r>
        <w:rPr>
          <w:rFonts w:ascii="Arial" w:hAnsi="Arial" w:cs="Arial"/>
          <w:b/>
          <w:sz w:val="19"/>
          <w:szCs w:val="19"/>
        </w:rPr>
        <w:t xml:space="preserve">22.10.</w:t>
      </w:r>
      <w:r>
        <w:rPr>
          <w:rFonts w:ascii="Arial" w:hAnsi="Arial" w:cs="Arial"/>
          <w:sz w:val="19"/>
          <w:szCs w:val="19"/>
        </w:rPr>
        <w:t xml:space="preserve"> Indenizar terceiros e/ou ao Órgão/Entidade, mesmo em c</w:t>
      </w:r>
      <w:r>
        <w:rPr>
          <w:rFonts w:ascii="Arial" w:hAnsi="Arial" w:cs="Arial"/>
          <w:sz w:val="19"/>
          <w:szCs w:val="19"/>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p>
    <w:p w14:paraId="44A4E888" w14:textId="77777777">
      <w:pPr>
        <w:pBdr/>
        <w:spacing/>
        <w:ind w:left="284"/>
        <w:jc w:val="both"/>
        <w:rPr>
          <w:rFonts w:ascii="Arial" w:cs="Arial"/>
          <w:b/>
        </w:rPr>
      </w:pPr>
      <w:r>
        <w:rPr>
          <w:rFonts w:ascii="Arial" w:cs="Arial"/>
          <w:b/>
        </w:rPr>
      </w:r>
      <w:r>
        <w:rPr>
          <w:rFonts w:ascii="Arial" w:cs="Arial"/>
          <w:b/>
        </w:rPr>
      </w:r>
    </w:p>
    <w:p w14:paraId="05797A2F" w14:textId="77777777">
      <w:pPr>
        <w:pBdr/>
        <w:spacing/>
        <w:ind/>
        <w:jc w:val="both"/>
        <w:rPr/>
      </w:pPr>
      <w:r>
        <w:rPr>
          <w:rFonts w:ascii="Arial" w:hAnsi="Arial" w:cs="Arial"/>
          <w:b/>
        </w:rPr>
        <w:t xml:space="preserve">22.11.</w:t>
      </w:r>
      <w:r>
        <w:rPr>
          <w:rFonts w:ascii="Arial" w:hAnsi="Arial" w:cs="Arial"/>
        </w:rPr>
        <w:t xml:space="preserve"> A contratada ficará </w:t>
      </w:r>
      <w:r>
        <w:rPr>
          <w:rFonts w:ascii="Arial" w:hAnsi="Arial" w:cs="Arial"/>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p>
    <w:p w14:paraId="20510936" w14:textId="77777777">
      <w:pPr>
        <w:pBdr/>
        <w:spacing/>
        <w:ind w:left="284"/>
        <w:jc w:val="both"/>
        <w:rPr>
          <w:rFonts w:ascii="Arial" w:cs="Arial"/>
        </w:rPr>
      </w:pPr>
      <w:r>
        <w:rPr>
          <w:rFonts w:ascii="Arial" w:cs="Arial"/>
        </w:rPr>
      </w:r>
      <w:r>
        <w:rPr>
          <w:rFonts w:ascii="Arial" w:cs="Arial"/>
        </w:rPr>
      </w:r>
    </w:p>
    <w:p w14:paraId="5FDB0F91" w14:textId="77777777">
      <w:pPr>
        <w:pBdr/>
        <w:spacing/>
        <w:ind/>
        <w:jc w:val="both"/>
        <w:rPr/>
      </w:pPr>
      <w:r>
        <w:rPr>
          <w:rFonts w:ascii="Arial" w:hAnsi="Arial" w:cs="Arial"/>
          <w:b/>
        </w:rPr>
        <w:t xml:space="preserve">22.12.</w:t>
      </w:r>
      <w:r>
        <w:rPr>
          <w:rFonts w:ascii="Arial" w:hAnsi="Arial" w:cs="Arial"/>
        </w:rPr>
        <w:t xml:space="preserve"> Arcar</w:t>
      </w:r>
      <w:r>
        <w:rPr>
          <w:rFonts w:ascii="Arial" w:hAnsi="Arial" w:cs="Arial"/>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p>
    <w:p w14:paraId="71F11B4B" w14:textId="77777777">
      <w:pPr>
        <w:pBdr/>
        <w:spacing/>
        <w:ind w:left="284"/>
        <w:jc w:val="both"/>
        <w:rPr>
          <w:rFonts w:ascii="Arial" w:cs="Arial"/>
          <w:b/>
        </w:rPr>
      </w:pPr>
      <w:r>
        <w:rPr>
          <w:rFonts w:ascii="Arial" w:cs="Arial"/>
          <w:b/>
        </w:rPr>
      </w:r>
      <w:r>
        <w:rPr>
          <w:rFonts w:ascii="Arial" w:cs="Arial"/>
          <w:b/>
        </w:rPr>
      </w:r>
    </w:p>
    <w:p w14:paraId="49B1027C" w14:textId="77777777">
      <w:pPr>
        <w:pBdr/>
        <w:spacing/>
        <w:ind/>
        <w:jc w:val="both"/>
        <w:rPr/>
      </w:pPr>
      <w:r>
        <w:rPr>
          <w:rFonts w:ascii="Arial" w:hAnsi="Arial" w:cs="Arial"/>
          <w:b/>
        </w:rPr>
        <w:t xml:space="preserve">22.13.</w:t>
      </w:r>
      <w:r>
        <w:rPr>
          <w:rFonts w:ascii="Arial" w:hAnsi="Arial" w:cs="Arial"/>
        </w:rPr>
        <w:t xml:space="preserve"> Todos os impostos e taxas que forem devidos em decorrência das contratações do objeto do Edital correrão por conta exclusiva da contratada. </w:t>
      </w:r>
      <w:r/>
    </w:p>
    <w:p w14:paraId="26B91ACD" w14:textId="77777777">
      <w:pPr>
        <w:pBdr/>
        <w:spacing/>
        <w:ind w:left="284"/>
        <w:jc w:val="both"/>
        <w:rPr>
          <w:rFonts w:ascii="Arial" w:cs="Arial"/>
        </w:rPr>
      </w:pPr>
      <w:r>
        <w:rPr>
          <w:rFonts w:ascii="Arial" w:cs="Arial"/>
        </w:rPr>
      </w:r>
      <w:r>
        <w:rPr>
          <w:rFonts w:ascii="Arial" w:cs="Arial"/>
        </w:rPr>
      </w:r>
    </w:p>
    <w:p w14:paraId="2645F674" w14:textId="77777777">
      <w:pPr>
        <w:pBdr/>
        <w:spacing/>
        <w:ind/>
        <w:jc w:val="both"/>
        <w:rPr/>
      </w:pPr>
      <w:r>
        <w:rPr>
          <w:rFonts w:ascii="Arial" w:hAnsi="Arial" w:cs="Arial"/>
          <w:b/>
          <w:sz w:val="19"/>
          <w:szCs w:val="19"/>
        </w:rPr>
        <w:t xml:space="preserve">22.14.</w:t>
      </w:r>
      <w:r>
        <w:rPr>
          <w:rFonts w:ascii="Arial" w:hAnsi="Arial" w:cs="Arial"/>
          <w:sz w:val="19"/>
          <w:szCs w:val="19"/>
        </w:rPr>
        <w:t xml:space="preserve"> Como condição para pagamento, a licitante vencedora deverá obrigatoriamente apresentar novamente a documentação que comprova sua regularidade fiscal e trabalhista, conforme apresentado na fase de habilitação. </w:t>
      </w:r>
      <w:r/>
    </w:p>
    <w:p w14:paraId="650C7AA8" w14:textId="77777777">
      <w:pPr>
        <w:pBdr/>
        <w:spacing/>
        <w:ind w:left="284"/>
        <w:jc w:val="both"/>
        <w:rPr>
          <w:rFonts w:ascii="Arial" w:cs="Arial"/>
          <w:sz w:val="19"/>
          <w:szCs w:val="19"/>
        </w:rPr>
      </w:pPr>
      <w:r>
        <w:rPr>
          <w:rFonts w:ascii="Arial" w:cs="Arial"/>
          <w:sz w:val="19"/>
          <w:szCs w:val="19"/>
        </w:rPr>
      </w:r>
      <w:r>
        <w:rPr>
          <w:rFonts w:ascii="Arial" w:cs="Arial"/>
          <w:sz w:val="19"/>
          <w:szCs w:val="19"/>
        </w:rPr>
      </w:r>
    </w:p>
    <w:p w14:paraId="2ACA79EA" w14:textId="77777777">
      <w:pPr>
        <w:pStyle w:val="873"/>
        <w:pBdr/>
        <w:spacing w:after="0" w:before="0"/>
        <w:ind/>
        <w:rPr>
          <w:lang w:val="pt-BR"/>
        </w:rPr>
      </w:pPr>
      <w:r/>
      <w:bookmarkStart w:id="69" w:name="_Toc190764812"/>
      <w:r/>
      <w:bookmarkStart w:id="70" w:name="_Toc135469234"/>
      <w:r/>
      <w:bookmarkStart w:id="71" w:name="_Toc18523"/>
      <w:r>
        <w:rPr>
          <w:sz w:val="20"/>
          <w:lang w:val="pt-BR"/>
        </w:rPr>
        <w:t xml:space="preserve">23. DAS INFRAÇÕES ADMINISTRATIVAS E SANÇÕES</w:t>
      </w:r>
      <w:bookmarkEnd w:id="69"/>
      <w:r>
        <w:rPr>
          <w:sz w:val="20"/>
          <w:lang w:val="pt-BR"/>
        </w:rPr>
        <w:t xml:space="preserve">:</w:t>
      </w:r>
      <w:bookmarkEnd w:id="70"/>
      <w:r/>
      <w:bookmarkEnd w:id="71"/>
      <w:r/>
      <w:r>
        <w:rPr>
          <w:lang w:val="pt-BR"/>
        </w:rPr>
      </w:r>
    </w:p>
    <w:p w14:paraId="34B3DBA7" w14:textId="77777777">
      <w:pPr>
        <w:pBdr/>
        <w:spacing/>
        <w:ind w:left="284"/>
        <w:jc w:val="both"/>
        <w:rPr>
          <w:rFonts w:ascii="Arial" w:cs="Arial"/>
          <w:b/>
        </w:rPr>
      </w:pPr>
      <w:r>
        <w:rPr>
          <w:rFonts w:ascii="Arial" w:cs="Arial"/>
          <w:b/>
        </w:rPr>
      </w:r>
      <w:r>
        <w:rPr>
          <w:rFonts w:ascii="Arial" w:cs="Arial"/>
          <w:b/>
        </w:rPr>
      </w:r>
    </w:p>
    <w:p w14:paraId="72FE60BE" w14:textId="77777777">
      <w:pPr>
        <w:pBdr/>
        <w:spacing/>
        <w:ind/>
        <w:jc w:val="both"/>
        <w:rPr/>
      </w:pPr>
      <w:r>
        <w:rPr>
          <w:rFonts w:ascii="Arial" w:hAnsi="Arial" w:cs="Arial"/>
          <w:b/>
        </w:rPr>
        <w:t xml:space="preserve">23.1.</w:t>
      </w:r>
      <w:r>
        <w:rPr>
          <w:rFonts w:ascii="Arial" w:hAnsi="Arial" w:cs="Arial"/>
        </w:rPr>
        <w:t xml:space="preserve"> Comete infração administrativa, nos termos da lei, o licitante que, com dolo ou culpa: </w:t>
      </w:r>
      <w:r/>
    </w:p>
    <w:p w14:paraId="23D25961" w14:textId="77777777">
      <w:pPr>
        <w:pBdr/>
        <w:spacing/>
        <w:ind w:left="284"/>
        <w:jc w:val="both"/>
        <w:rPr>
          <w:rFonts w:ascii="Arial" w:cs="Arial"/>
        </w:rPr>
      </w:pPr>
      <w:r/>
      <w:bookmarkStart w:id="72" w:name="_Hlk114652595"/>
      <w:r/>
      <w:r>
        <w:rPr>
          <w:rFonts w:ascii="Arial" w:cs="Arial"/>
        </w:rPr>
      </w:r>
    </w:p>
    <w:p w14:paraId="57BB978F" w14:textId="77777777">
      <w:pPr>
        <w:pBdr/>
        <w:spacing/>
        <w:ind w:left="284"/>
        <w:jc w:val="both"/>
        <w:rPr/>
      </w:pPr>
      <w:r>
        <w:rPr>
          <w:rFonts w:ascii="Arial" w:hAnsi="Arial" w:cs="Arial"/>
          <w:b/>
        </w:rPr>
        <w:t xml:space="preserve">23.1.1.</w:t>
      </w:r>
      <w:r>
        <w:rPr>
          <w:rFonts w:ascii="Arial" w:hAnsi="Arial" w:cs="Arial"/>
        </w:rPr>
        <w:t xml:space="preserve"> Deixar de entregar a documentação exigida para o certame ou não entregar qualquer documento que tenha sido solicitado pelo/a pregoeiro/a durante o certame;</w:t>
      </w:r>
      <w:bookmarkEnd w:id="72"/>
      <w:r/>
      <w:r/>
    </w:p>
    <w:p w14:paraId="52B22110" w14:textId="77777777">
      <w:pPr>
        <w:pBdr/>
        <w:spacing/>
        <w:ind w:left="284"/>
        <w:jc w:val="both"/>
        <w:rPr>
          <w:rFonts w:ascii="Arial" w:cs="Arial"/>
        </w:rPr>
      </w:pPr>
      <w:r/>
      <w:bookmarkStart w:id="73" w:name="_Ref114668108"/>
      <w:r/>
      <w:r>
        <w:rPr>
          <w:rFonts w:ascii="Arial" w:cs="Arial"/>
        </w:rPr>
      </w:r>
    </w:p>
    <w:p w14:paraId="16AB5408" w14:textId="77777777">
      <w:pPr>
        <w:pBdr/>
        <w:spacing/>
        <w:ind w:left="284"/>
        <w:jc w:val="both"/>
        <w:rPr/>
      </w:pPr>
      <w:r>
        <w:rPr>
          <w:rFonts w:ascii="Arial" w:hAnsi="Arial" w:cs="Arial"/>
          <w:b/>
        </w:rPr>
        <w:t xml:space="preserve">23.1.2.</w:t>
      </w:r>
      <w:r>
        <w:rPr>
          <w:rFonts w:ascii="Arial" w:hAnsi="Arial" w:cs="Arial"/>
        </w:rPr>
        <w:t xml:space="preserve"> Salvo em decorrência de fato superveniente devidamente justificado, não mantiver a proposta em especial quando:</w:t>
      </w:r>
      <w:bookmarkEnd w:id="73"/>
      <w:r/>
      <w:r/>
    </w:p>
    <w:p w14:paraId="45C37BFD" w14:textId="77777777">
      <w:pPr>
        <w:pBdr/>
        <w:spacing/>
        <w:ind w:left="284"/>
        <w:jc w:val="both"/>
        <w:rPr>
          <w:rFonts w:ascii="Arial" w:cs="Arial"/>
        </w:rPr>
      </w:pPr>
      <w:r>
        <w:rPr>
          <w:rFonts w:ascii="Arial" w:cs="Arial"/>
        </w:rPr>
      </w:r>
      <w:r>
        <w:rPr>
          <w:rFonts w:ascii="Arial" w:cs="Arial"/>
        </w:rPr>
      </w:r>
    </w:p>
    <w:p w14:paraId="777884E1" w14:textId="77777777">
      <w:pPr>
        <w:pBdr/>
        <w:spacing/>
        <w:ind w:left="284"/>
        <w:jc w:val="both"/>
        <w:rPr/>
      </w:pPr>
      <w:r>
        <w:rPr>
          <w:rFonts w:ascii="Arial" w:hAnsi="Arial" w:cs="Arial"/>
          <w:b/>
        </w:rPr>
        <w:t xml:space="preserve">23.1.2.</w:t>
      </w:r>
      <w:r>
        <w:rPr>
          <w:rFonts w:ascii="Arial" w:hAnsi="Arial" w:cs="Arial"/>
        </w:rPr>
        <w:t xml:space="preserve">1. Não enviar a proposta adequada ao último lance ofertado ou após a negociação; </w:t>
      </w:r>
      <w:r/>
    </w:p>
    <w:p w14:paraId="658EA21F" w14:textId="77777777">
      <w:pPr>
        <w:pBdr/>
        <w:spacing/>
        <w:ind w:left="284"/>
        <w:jc w:val="both"/>
        <w:rPr>
          <w:rFonts w:ascii="Arial" w:cs="Arial"/>
        </w:rPr>
      </w:pPr>
      <w:r>
        <w:rPr>
          <w:rFonts w:ascii="Arial" w:cs="Arial"/>
        </w:rPr>
      </w:r>
      <w:r>
        <w:rPr>
          <w:rFonts w:ascii="Arial" w:cs="Arial"/>
        </w:rPr>
      </w:r>
    </w:p>
    <w:p w14:paraId="2BEE7F2A" w14:textId="77777777">
      <w:pPr>
        <w:pBdr/>
        <w:spacing/>
        <w:ind w:left="284"/>
        <w:jc w:val="both"/>
        <w:rPr/>
      </w:pPr>
      <w:r>
        <w:rPr>
          <w:rFonts w:ascii="Arial" w:hAnsi="Arial" w:cs="Arial"/>
          <w:b/>
        </w:rPr>
        <w:t xml:space="preserve">23.1.2.2.</w:t>
      </w:r>
      <w:r>
        <w:rPr>
          <w:rFonts w:ascii="Arial" w:hAnsi="Arial" w:cs="Arial"/>
        </w:rPr>
        <w:t xml:space="preserve"> Recusar-se a enviar o detalhamento da proposta quando exigível; </w:t>
      </w:r>
      <w:r/>
    </w:p>
    <w:p w14:paraId="77914A6B" w14:textId="77777777">
      <w:pPr>
        <w:pBdr/>
        <w:spacing/>
        <w:ind w:left="284"/>
        <w:jc w:val="both"/>
        <w:rPr>
          <w:rFonts w:ascii="Arial" w:cs="Arial"/>
        </w:rPr>
      </w:pPr>
      <w:r>
        <w:rPr>
          <w:rFonts w:ascii="Arial" w:cs="Arial"/>
        </w:rPr>
      </w:r>
      <w:r>
        <w:rPr>
          <w:rFonts w:ascii="Arial" w:cs="Arial"/>
        </w:rPr>
      </w:r>
    </w:p>
    <w:p w14:paraId="1BE0D4BF" w14:textId="77777777">
      <w:pPr>
        <w:pBdr/>
        <w:spacing/>
        <w:ind w:left="284"/>
        <w:jc w:val="both"/>
        <w:rPr/>
      </w:pPr>
      <w:r>
        <w:rPr>
          <w:rFonts w:ascii="Arial" w:hAnsi="Arial" w:cs="Arial"/>
          <w:b/>
        </w:rPr>
        <w:t xml:space="preserve">23.1.2.3.</w:t>
      </w:r>
      <w:r>
        <w:rPr>
          <w:rFonts w:ascii="Arial" w:hAnsi="Arial" w:cs="Arial"/>
        </w:rPr>
        <w:t xml:space="preserve"> Pedir para ser desclassificado quando encerrada a etapa competitiva; ou </w:t>
      </w:r>
      <w:r/>
    </w:p>
    <w:p w14:paraId="1B4E7031" w14:textId="77777777">
      <w:pPr>
        <w:pBdr/>
        <w:spacing/>
        <w:ind w:left="284"/>
        <w:jc w:val="both"/>
        <w:rPr>
          <w:rFonts w:ascii="Arial" w:cs="Arial"/>
        </w:rPr>
      </w:pPr>
      <w:r>
        <w:rPr>
          <w:rFonts w:ascii="Arial" w:cs="Arial"/>
        </w:rPr>
      </w:r>
      <w:r>
        <w:rPr>
          <w:rFonts w:ascii="Arial" w:cs="Arial"/>
        </w:rPr>
      </w:r>
    </w:p>
    <w:p w14:paraId="2B32C23F" w14:textId="26291227">
      <w:pPr>
        <w:pBdr/>
        <w:spacing/>
        <w:ind w:left="284"/>
        <w:jc w:val="both"/>
        <w:rPr/>
      </w:pPr>
      <w:r>
        <w:rPr>
          <w:rFonts w:ascii="Arial" w:hAnsi="Arial" w:cs="Arial"/>
          <w:b/>
          <w:strike/>
        </w:rPr>
        <w:t xml:space="preserve">23.1.2.4.</w:t>
      </w:r>
      <w:r>
        <w:rPr>
          <w:rFonts w:ascii="Arial" w:hAnsi="Arial" w:cs="Arial"/>
          <w:strike/>
        </w:rPr>
        <w:t xml:space="preserve"> Deixar de apresentar amostra</w:t>
      </w:r>
      <w:r>
        <w:rPr>
          <w:rFonts w:ascii="Arial" w:hAnsi="Arial" w:cs="Arial"/>
        </w:rPr>
        <w:t xml:space="preserve">; não exigido para este certame </w:t>
      </w:r>
      <w:r/>
    </w:p>
    <w:p w14:paraId="5552B870" w14:textId="77777777">
      <w:pPr>
        <w:pBdr/>
        <w:spacing/>
        <w:ind w:left="284"/>
        <w:jc w:val="both"/>
        <w:rPr>
          <w:rFonts w:ascii="Arial" w:cs="Arial"/>
        </w:rPr>
      </w:pPr>
      <w:r>
        <w:rPr>
          <w:rFonts w:ascii="Arial" w:cs="Arial"/>
        </w:rPr>
      </w:r>
      <w:r>
        <w:rPr>
          <w:rFonts w:ascii="Arial" w:cs="Arial"/>
        </w:rPr>
      </w:r>
    </w:p>
    <w:p w14:paraId="617A7A73" w14:textId="77777777">
      <w:pPr>
        <w:pBdr/>
        <w:spacing/>
        <w:ind w:left="284"/>
        <w:jc w:val="both"/>
        <w:rPr/>
      </w:pPr>
      <w:r>
        <w:rPr>
          <w:rFonts w:ascii="Arial" w:hAnsi="Arial" w:cs="Arial"/>
          <w:b/>
        </w:rPr>
        <w:t xml:space="preserve">23.1.2.5.</w:t>
      </w:r>
      <w:r>
        <w:rPr>
          <w:rFonts w:ascii="Arial" w:hAnsi="Arial" w:cs="Arial"/>
        </w:rPr>
        <w:t xml:space="preserve"> Apresentar proposta ou amostra em desacordo com as especificações do edital; </w:t>
      </w:r>
      <w:r/>
    </w:p>
    <w:p w14:paraId="32B87ED8" w14:textId="77777777">
      <w:pPr>
        <w:pBdr/>
        <w:spacing/>
        <w:ind w:left="284"/>
        <w:jc w:val="both"/>
        <w:rPr>
          <w:rFonts w:ascii="Arial" w:cs="Arial"/>
        </w:rPr>
      </w:pPr>
      <w:r/>
      <w:bookmarkStart w:id="74" w:name="_Ref114668139"/>
      <w:r/>
      <w:r>
        <w:rPr>
          <w:rFonts w:ascii="Arial" w:cs="Arial"/>
        </w:rPr>
      </w:r>
    </w:p>
    <w:p w14:paraId="6AE701FA" w14:textId="77777777">
      <w:pPr>
        <w:pBdr/>
        <w:spacing/>
        <w:ind w:left="284"/>
        <w:jc w:val="both"/>
        <w:rPr/>
      </w:pPr>
      <w:r>
        <w:rPr>
          <w:rFonts w:ascii="Arial" w:hAnsi="Arial" w:cs="Arial"/>
          <w:b/>
        </w:rPr>
        <w:t xml:space="preserve">23.1.3.</w:t>
      </w:r>
      <w:r>
        <w:rPr>
          <w:rFonts w:ascii="Arial" w:hAnsi="Arial" w:cs="Arial"/>
        </w:rPr>
        <w:t xml:space="preserve"> Não celebrar o contrato ou não entregar a documentação exigida para a contratação, quando convocado dentro do prazo de validade de sua proposta;</w:t>
      </w:r>
      <w:bookmarkEnd w:id="74"/>
      <w:r/>
      <w:r/>
    </w:p>
    <w:p w14:paraId="3B43C809" w14:textId="77777777">
      <w:pPr>
        <w:pBdr/>
        <w:spacing/>
        <w:ind w:left="284"/>
        <w:jc w:val="both"/>
        <w:rPr>
          <w:rFonts w:ascii="Arial" w:cs="Arial"/>
        </w:rPr>
      </w:pPr>
      <w:r>
        <w:rPr>
          <w:rFonts w:ascii="Arial" w:cs="Arial"/>
        </w:rPr>
      </w:r>
      <w:r>
        <w:rPr>
          <w:rFonts w:ascii="Arial" w:cs="Arial"/>
        </w:rPr>
      </w:r>
    </w:p>
    <w:p w14:paraId="325DD09F" w14:textId="77777777">
      <w:pPr>
        <w:pBdr/>
        <w:spacing/>
        <w:ind w:left="284"/>
        <w:jc w:val="both"/>
        <w:rPr/>
      </w:pPr>
      <w:r>
        <w:rPr>
          <w:rFonts w:ascii="Arial" w:hAnsi="Arial" w:cs="Arial"/>
          <w:b/>
        </w:rPr>
        <w:t xml:space="preserve">23.1.3.1.</w:t>
      </w:r>
      <w:r>
        <w:rPr>
          <w:rFonts w:ascii="Arial" w:hAnsi="Arial" w:cs="Arial"/>
        </w:rPr>
        <w:t xml:space="preserve"> Recusar-se, sem justificativa, a assinar o contrato ou a ata de registro de preço, ou a aceitar ou retirar o instrumento equivalente no prazo estabelecido pela Administração;</w:t>
      </w:r>
      <w:r/>
    </w:p>
    <w:p w14:paraId="541924F3" w14:textId="77777777">
      <w:pPr>
        <w:pBdr/>
        <w:spacing/>
        <w:ind w:left="284"/>
        <w:jc w:val="both"/>
        <w:rPr>
          <w:rFonts w:ascii="Arial" w:cs="Arial"/>
        </w:rPr>
      </w:pPr>
      <w:r/>
      <w:bookmarkStart w:id="75" w:name="_Ref114668249"/>
      <w:r/>
      <w:r>
        <w:rPr>
          <w:rFonts w:ascii="Arial" w:cs="Arial"/>
        </w:rPr>
      </w:r>
    </w:p>
    <w:p w14:paraId="63AB592A" w14:textId="77777777">
      <w:pPr>
        <w:pBdr/>
        <w:spacing/>
        <w:ind w:left="284"/>
        <w:jc w:val="both"/>
        <w:rPr/>
      </w:pPr>
      <w:r>
        <w:rPr>
          <w:rFonts w:ascii="Arial" w:hAnsi="Arial" w:cs="Arial"/>
          <w:b/>
        </w:rPr>
        <w:t xml:space="preserve">23.1.4.</w:t>
      </w:r>
      <w:r>
        <w:rPr>
          <w:rFonts w:ascii="Arial" w:hAnsi="Arial" w:cs="Arial"/>
        </w:rPr>
        <w:t xml:space="preserve"> Apresentar declaração ou documentação falsa exigida para o certame ou prestar declaração falsa durante a licitação</w:t>
      </w:r>
      <w:bookmarkEnd w:id="75"/>
      <w:r>
        <w:rPr>
          <w:rFonts w:ascii="Arial" w:hAnsi="Arial" w:cs="Arial"/>
        </w:rPr>
        <w:t xml:space="preserve">;</w:t>
      </w:r>
      <w:r/>
    </w:p>
    <w:p w14:paraId="3F8886C3" w14:textId="77777777">
      <w:pPr>
        <w:pBdr/>
        <w:spacing/>
        <w:ind w:left="284"/>
        <w:jc w:val="both"/>
        <w:rPr>
          <w:rFonts w:ascii="Arial" w:cs="Arial"/>
        </w:rPr>
      </w:pPr>
      <w:r>
        <w:rPr>
          <w:rFonts w:ascii="Arial" w:cs="Arial"/>
        </w:rPr>
      </w:r>
      <w:r>
        <w:rPr>
          <w:rFonts w:ascii="Arial" w:cs="Arial"/>
        </w:rPr>
      </w:r>
    </w:p>
    <w:p w14:paraId="73A6ACE5" w14:textId="77777777">
      <w:pPr>
        <w:pBdr/>
        <w:spacing/>
        <w:ind w:left="284"/>
        <w:jc w:val="both"/>
        <w:rPr/>
      </w:pPr>
      <w:r/>
      <w:bookmarkStart w:id="76" w:name="_Ref114668245"/>
      <w:r>
        <w:rPr>
          <w:rFonts w:ascii="Arial" w:hAnsi="Arial" w:cs="Arial"/>
          <w:b/>
        </w:rPr>
        <w:t xml:space="preserve">23.1.5.</w:t>
      </w:r>
      <w:r>
        <w:rPr>
          <w:rFonts w:ascii="Arial" w:hAnsi="Arial" w:cs="Arial"/>
        </w:rPr>
        <w:t xml:space="preserve"> Fraudar a licitação</w:t>
      </w:r>
      <w:bookmarkEnd w:id="76"/>
      <w:r>
        <w:rPr>
          <w:rFonts w:ascii="Arial" w:hAnsi="Arial" w:cs="Arial"/>
        </w:rPr>
        <w:t xml:space="preserve">;</w:t>
      </w:r>
      <w:r/>
    </w:p>
    <w:p w14:paraId="5C43C706" w14:textId="77777777">
      <w:pPr>
        <w:pBdr/>
        <w:spacing/>
        <w:ind w:left="284"/>
        <w:jc w:val="both"/>
        <w:rPr>
          <w:rFonts w:ascii="Arial" w:cs="Arial"/>
        </w:rPr>
      </w:pPr>
      <w:r>
        <w:rPr>
          <w:rFonts w:ascii="Arial" w:cs="Arial"/>
        </w:rPr>
      </w:r>
      <w:r>
        <w:rPr>
          <w:rFonts w:ascii="Arial" w:cs="Arial"/>
        </w:rPr>
      </w:r>
    </w:p>
    <w:p w14:paraId="2F371882" w14:textId="77777777">
      <w:pPr>
        <w:pBdr/>
        <w:spacing/>
        <w:ind w:left="284"/>
        <w:jc w:val="both"/>
        <w:rPr/>
      </w:pPr>
      <w:r/>
      <w:bookmarkStart w:id="77" w:name="_Ref114668247"/>
      <w:r>
        <w:rPr>
          <w:rFonts w:ascii="Arial" w:hAnsi="Arial" w:cs="Arial"/>
          <w:b/>
        </w:rPr>
        <w:t xml:space="preserve">23.1.6.</w:t>
      </w:r>
      <w:r>
        <w:rPr>
          <w:rFonts w:ascii="Arial" w:hAnsi="Arial" w:cs="Arial"/>
        </w:rPr>
        <w:t xml:space="preserve"> Comportar-se de modo inidôneo ou cometer fraude de qualquer natureza, em especial quando:</w:t>
      </w:r>
      <w:bookmarkEnd w:id="77"/>
      <w:r/>
      <w:r/>
    </w:p>
    <w:p w14:paraId="6FB3F935" w14:textId="77777777">
      <w:pPr>
        <w:pBdr/>
        <w:spacing/>
        <w:ind w:left="284"/>
        <w:jc w:val="both"/>
        <w:rPr>
          <w:rFonts w:ascii="Arial" w:cs="Arial"/>
          <w:b/>
        </w:rPr>
      </w:pPr>
      <w:r>
        <w:rPr>
          <w:rFonts w:ascii="Arial" w:cs="Arial"/>
          <w:b/>
        </w:rPr>
      </w:r>
      <w:r>
        <w:rPr>
          <w:rFonts w:ascii="Arial" w:cs="Arial"/>
          <w:b/>
        </w:rPr>
      </w:r>
    </w:p>
    <w:p w14:paraId="666C591E" w14:textId="77777777">
      <w:pPr>
        <w:pBdr/>
        <w:spacing/>
        <w:ind w:left="284"/>
        <w:jc w:val="both"/>
        <w:rPr/>
      </w:pPr>
      <w:r>
        <w:rPr>
          <w:rFonts w:ascii="Arial" w:hAnsi="Arial" w:cs="Arial"/>
          <w:b/>
        </w:rPr>
        <w:t xml:space="preserve">23.1.6.1.</w:t>
      </w:r>
      <w:r>
        <w:rPr>
          <w:rFonts w:ascii="Arial" w:hAnsi="Arial" w:cs="Arial"/>
        </w:rPr>
        <w:t xml:space="preserve"> Agir em conluio ou em desconformidade com a lei; </w:t>
      </w:r>
      <w:r/>
    </w:p>
    <w:p w14:paraId="65A3BF45" w14:textId="77777777">
      <w:pPr>
        <w:pBdr/>
        <w:spacing/>
        <w:ind w:left="284"/>
        <w:jc w:val="both"/>
        <w:rPr>
          <w:rFonts w:ascii="Arial" w:cs="Arial"/>
        </w:rPr>
      </w:pPr>
      <w:r>
        <w:rPr>
          <w:rFonts w:ascii="Arial" w:cs="Arial"/>
        </w:rPr>
      </w:r>
      <w:r>
        <w:rPr>
          <w:rFonts w:ascii="Arial" w:cs="Arial"/>
        </w:rPr>
      </w:r>
    </w:p>
    <w:p w14:paraId="55ED9F12" w14:textId="77777777">
      <w:pPr>
        <w:pBdr/>
        <w:spacing/>
        <w:ind w:left="284"/>
        <w:jc w:val="both"/>
        <w:rPr/>
      </w:pPr>
      <w:r>
        <w:rPr>
          <w:rFonts w:ascii="Arial" w:hAnsi="Arial" w:cs="Arial"/>
          <w:b/>
        </w:rPr>
        <w:t xml:space="preserve">23.1.6.2.</w:t>
      </w:r>
      <w:r>
        <w:rPr>
          <w:rFonts w:ascii="Arial" w:hAnsi="Arial" w:cs="Arial"/>
        </w:rPr>
        <w:t xml:space="preserve"> Induzir deliberadamente a erro no julgamento; </w:t>
      </w:r>
      <w:r/>
    </w:p>
    <w:p w14:paraId="17FC49B0" w14:textId="77777777">
      <w:pPr>
        <w:pBdr/>
        <w:spacing/>
        <w:ind w:left="284"/>
        <w:jc w:val="both"/>
        <w:rPr>
          <w:rFonts w:ascii="Arial" w:cs="Arial"/>
          <w:b/>
        </w:rPr>
      </w:pPr>
      <w:r>
        <w:rPr>
          <w:rFonts w:ascii="Arial" w:cs="Arial"/>
          <w:b/>
        </w:rPr>
      </w:r>
      <w:r>
        <w:rPr>
          <w:rFonts w:ascii="Arial" w:cs="Arial"/>
          <w:b/>
        </w:rPr>
      </w:r>
    </w:p>
    <w:p w14:paraId="44A397BD" w14:textId="77777777">
      <w:pPr>
        <w:pBdr/>
        <w:spacing/>
        <w:ind w:left="284"/>
        <w:jc w:val="both"/>
        <w:rPr/>
      </w:pPr>
      <w:r>
        <w:rPr>
          <w:rFonts w:ascii="Arial" w:hAnsi="Arial" w:cs="Arial"/>
          <w:b/>
        </w:rPr>
        <w:t xml:space="preserve">23.1.6.3.</w:t>
      </w:r>
      <w:r>
        <w:rPr>
          <w:rFonts w:ascii="Arial" w:hAnsi="Arial" w:cs="Arial"/>
        </w:rPr>
        <w:t xml:space="preserve"> Apresentar amostra falsificada ou deteriorada; </w:t>
      </w:r>
      <w:r/>
    </w:p>
    <w:p w14:paraId="53010D58" w14:textId="77777777">
      <w:pPr>
        <w:pBdr/>
        <w:spacing/>
        <w:ind w:left="284"/>
        <w:jc w:val="both"/>
        <w:rPr>
          <w:rFonts w:ascii="Arial" w:cs="Arial"/>
        </w:rPr>
      </w:pPr>
      <w:r/>
      <w:bookmarkStart w:id="78" w:name="_Ref114668251"/>
      <w:r/>
      <w:r>
        <w:rPr>
          <w:rFonts w:ascii="Arial" w:cs="Arial"/>
        </w:rPr>
      </w:r>
    </w:p>
    <w:p w14:paraId="6A69C115" w14:textId="77777777">
      <w:pPr>
        <w:pBdr/>
        <w:spacing/>
        <w:ind w:left="284"/>
        <w:jc w:val="both"/>
        <w:rPr/>
      </w:pPr>
      <w:r>
        <w:rPr>
          <w:rFonts w:ascii="Arial" w:hAnsi="Arial" w:cs="Arial"/>
          <w:b/>
        </w:rPr>
        <w:t xml:space="preserve">23.1.7.</w:t>
      </w:r>
      <w:r>
        <w:rPr>
          <w:rFonts w:ascii="Arial" w:hAnsi="Arial" w:cs="Arial"/>
        </w:rPr>
        <w:t xml:space="preserve">  Praticar atos ilícitos com vistas a frustrar os objetivos da licitação</w:t>
      </w:r>
      <w:bookmarkEnd w:id="78"/>
      <w:r>
        <w:rPr>
          <w:rFonts w:ascii="Arial" w:hAnsi="Arial" w:cs="Arial"/>
        </w:rPr>
        <w:t xml:space="preserve">;</w:t>
      </w:r>
      <w:r/>
    </w:p>
    <w:p w14:paraId="762133D8" w14:textId="77777777">
      <w:pPr>
        <w:pBdr/>
        <w:spacing/>
        <w:ind w:left="284"/>
        <w:jc w:val="both"/>
        <w:rPr>
          <w:rFonts w:ascii="Arial" w:cs="Arial"/>
          <w:b/>
        </w:rPr>
      </w:pPr>
      <w:r/>
      <w:bookmarkStart w:id="79" w:name="_Ref114668252"/>
      <w:r/>
      <w:r>
        <w:rPr>
          <w:rFonts w:ascii="Arial" w:cs="Arial"/>
          <w:b/>
        </w:rPr>
      </w:r>
    </w:p>
    <w:p w14:paraId="72CED0EA" w14:textId="77777777">
      <w:pPr>
        <w:pBdr/>
        <w:spacing/>
        <w:ind w:left="284"/>
        <w:jc w:val="both"/>
        <w:rPr/>
      </w:pPr>
      <w:r>
        <w:rPr>
          <w:rFonts w:ascii="Arial" w:hAnsi="Arial" w:cs="Arial"/>
          <w:b/>
        </w:rPr>
        <w:t xml:space="preserve">23.1.8.</w:t>
      </w:r>
      <w:r>
        <w:rPr>
          <w:rFonts w:ascii="Arial" w:hAnsi="Arial" w:cs="Arial"/>
        </w:rPr>
        <w:t xml:space="preserve">  Praticar ato lesivo previsto no </w:t>
      </w:r>
      <w:hyperlink r:id="rId39" w:tooltip="https://www.planalto.gov.br/ccivil_03/_ato2011-2014/2013/lei/l12846.htm#art5" w:anchor="art5" w:history="1">
        <w:r>
          <w:rPr>
            <w:rFonts w:ascii="Arial" w:hAnsi="Arial" w:cs="Arial"/>
          </w:rPr>
          <w:t xml:space="preserve">art. 5º da Lei n.º 12.846, de 2013</w:t>
        </w:r>
      </w:hyperlink>
      <w:r/>
      <w:bookmarkEnd w:id="79"/>
      <w:r>
        <w:rPr>
          <w:rFonts w:ascii="Arial" w:hAnsi="Arial" w:cs="Arial"/>
        </w:rPr>
        <w:t xml:space="preserve">;</w:t>
      </w:r>
      <w:r/>
    </w:p>
    <w:p w14:paraId="03318D22" w14:textId="77777777">
      <w:pPr>
        <w:pBdr/>
        <w:spacing/>
        <w:ind w:left="284"/>
        <w:jc w:val="both"/>
        <w:rPr>
          <w:rFonts w:ascii="Arial" w:cs="Arial"/>
          <w:b/>
        </w:rPr>
      </w:pPr>
      <w:r/>
      <w:bookmarkStart w:id="80" w:name="_Ref114668085"/>
      <w:r/>
      <w:bookmarkEnd w:id="80"/>
      <w:r/>
      <w:r>
        <w:rPr>
          <w:rFonts w:ascii="Arial" w:cs="Arial"/>
          <w:b/>
        </w:rPr>
      </w:r>
    </w:p>
    <w:p w14:paraId="1F000907" w14:textId="77777777">
      <w:pPr>
        <w:pBdr/>
        <w:spacing/>
        <w:ind/>
        <w:jc w:val="both"/>
        <w:rPr/>
      </w:pPr>
      <w:r>
        <w:rPr>
          <w:rFonts w:ascii="Arial" w:hAnsi="Arial" w:cs="Arial"/>
          <w:b/>
        </w:rPr>
        <w:t xml:space="preserve">23.2.</w:t>
      </w:r>
      <w:r>
        <w:rPr>
          <w:rFonts w:ascii="Arial" w:hAnsi="Arial" w:cs="Arial"/>
        </w:rPr>
        <w:t xml:space="preserve"> Com fulcro na </w:t>
      </w:r>
      <w:hyperlink r:id="rId40" w:tooltip="http://www.planalto.gov.br/ccivil_03/_ato2019-2022/2021/lei/L14133.htm" w:history="1">
        <w:r>
          <w:rPr>
            <w:rFonts w:ascii="Arial" w:hAnsi="Arial" w:cs="Arial"/>
          </w:rPr>
          <w:t xml:space="preserve">Lei nº 14.133, de 2021</w:t>
        </w:r>
      </w:hyperlink>
      <w:r>
        <w:rPr>
          <w:rFonts w:ascii="Arial" w:hAnsi="Arial" w:cs="Arial"/>
        </w:rPr>
        <w:t xml:space="preserve">, a Administração poderá, garantida a prévia defesa, aplicar aos licitantes e/ou adjudicatários as seguintes sanções, sem prejuízo das responsabilidades civil e criminal: </w:t>
      </w:r>
      <w:r/>
    </w:p>
    <w:p w14:paraId="5F670372" w14:textId="77777777">
      <w:pPr>
        <w:pBdr/>
        <w:spacing/>
        <w:ind w:left="284"/>
        <w:jc w:val="both"/>
        <w:rPr>
          <w:rFonts w:ascii="Arial" w:cs="Arial"/>
          <w:b/>
        </w:rPr>
      </w:pPr>
      <w:r>
        <w:rPr>
          <w:rFonts w:ascii="Arial" w:cs="Arial"/>
          <w:b/>
        </w:rPr>
      </w:r>
      <w:r>
        <w:rPr>
          <w:rFonts w:ascii="Arial" w:cs="Arial"/>
          <w:b/>
        </w:rPr>
      </w:r>
    </w:p>
    <w:p w14:paraId="0DFC1C36" w14:textId="77777777">
      <w:pPr>
        <w:pBdr/>
        <w:spacing/>
        <w:ind w:left="284"/>
        <w:jc w:val="both"/>
        <w:rPr/>
      </w:pPr>
      <w:r>
        <w:rPr>
          <w:rFonts w:ascii="Arial" w:hAnsi="Arial" w:cs="Arial"/>
          <w:b/>
        </w:rPr>
        <w:t xml:space="preserve">23.2.1.</w:t>
      </w:r>
      <w:r>
        <w:rPr>
          <w:rFonts w:ascii="Arial" w:hAnsi="Arial" w:cs="Arial"/>
        </w:rPr>
        <w:t xml:space="preserve"> Advertência; </w:t>
      </w:r>
      <w:r/>
    </w:p>
    <w:p w14:paraId="1BD2F765" w14:textId="77777777">
      <w:pPr>
        <w:pBdr/>
        <w:spacing/>
        <w:ind w:left="284"/>
        <w:jc w:val="both"/>
        <w:rPr>
          <w:rFonts w:ascii="Arial" w:cs="Arial"/>
          <w:b/>
        </w:rPr>
      </w:pPr>
      <w:r>
        <w:rPr>
          <w:rFonts w:ascii="Arial" w:cs="Arial"/>
          <w:b/>
        </w:rPr>
      </w:r>
      <w:r>
        <w:rPr>
          <w:rFonts w:ascii="Arial" w:cs="Arial"/>
          <w:b/>
        </w:rPr>
      </w:r>
    </w:p>
    <w:p w14:paraId="0769A4E1" w14:textId="77777777">
      <w:pPr>
        <w:pBdr/>
        <w:spacing/>
        <w:ind w:left="284"/>
        <w:jc w:val="both"/>
        <w:rPr/>
      </w:pPr>
      <w:r>
        <w:rPr>
          <w:rFonts w:ascii="Arial" w:hAnsi="Arial" w:cs="Arial"/>
          <w:b/>
        </w:rPr>
        <w:t xml:space="preserve">23.2.2.</w:t>
      </w:r>
      <w:r>
        <w:rPr>
          <w:rFonts w:ascii="Arial" w:hAnsi="Arial" w:cs="Arial"/>
        </w:rPr>
        <w:t xml:space="preserve"> Multa;</w:t>
      </w:r>
      <w:r/>
    </w:p>
    <w:p w14:paraId="7AE6EE47" w14:textId="77777777">
      <w:pPr>
        <w:pBdr/>
        <w:spacing/>
        <w:ind w:left="284"/>
        <w:jc w:val="both"/>
        <w:rPr>
          <w:rFonts w:ascii="Arial" w:cs="Arial"/>
          <w:b/>
        </w:rPr>
      </w:pPr>
      <w:r>
        <w:rPr>
          <w:rFonts w:ascii="Arial" w:cs="Arial"/>
          <w:b/>
        </w:rPr>
      </w:r>
      <w:r>
        <w:rPr>
          <w:rFonts w:ascii="Arial" w:cs="Arial"/>
          <w:b/>
        </w:rPr>
      </w:r>
    </w:p>
    <w:p w14:paraId="08500FE2" w14:textId="77777777">
      <w:pPr>
        <w:pBdr/>
        <w:spacing/>
        <w:ind w:left="284"/>
        <w:jc w:val="both"/>
        <w:rPr/>
      </w:pPr>
      <w:r>
        <w:rPr>
          <w:rFonts w:ascii="Arial" w:hAnsi="Arial" w:cs="Arial"/>
          <w:b/>
        </w:rPr>
        <w:t xml:space="preserve">23.2.3.</w:t>
      </w:r>
      <w:r>
        <w:rPr>
          <w:rFonts w:ascii="Arial" w:hAnsi="Arial" w:cs="Arial"/>
        </w:rPr>
        <w:t xml:space="preserve"> Impedimento de licitar e contratar e</w:t>
      </w:r>
      <w:r/>
    </w:p>
    <w:p w14:paraId="027E0EC6" w14:textId="77777777">
      <w:pPr>
        <w:pBdr/>
        <w:spacing/>
        <w:ind w:left="284"/>
        <w:jc w:val="both"/>
        <w:rPr>
          <w:rFonts w:ascii="Arial" w:cs="Arial"/>
          <w:b/>
        </w:rPr>
      </w:pPr>
      <w:r>
        <w:rPr>
          <w:rFonts w:ascii="Arial" w:cs="Arial"/>
          <w:b/>
        </w:rPr>
      </w:r>
      <w:r>
        <w:rPr>
          <w:rFonts w:ascii="Arial" w:cs="Arial"/>
          <w:b/>
        </w:rPr>
      </w:r>
    </w:p>
    <w:p w14:paraId="390961DA" w14:textId="77777777">
      <w:pPr>
        <w:pBdr/>
        <w:spacing/>
        <w:ind w:left="284"/>
        <w:jc w:val="both"/>
        <w:rPr/>
      </w:pPr>
      <w:r>
        <w:rPr>
          <w:rFonts w:ascii="Arial" w:hAnsi="Arial" w:cs="Arial"/>
          <w:b/>
        </w:rPr>
        <w:t xml:space="preserve">23.2.4.</w:t>
      </w:r>
      <w:r>
        <w:rPr>
          <w:rFonts w:ascii="Arial" w:hAnsi="Arial" w:cs="Arial"/>
        </w:rPr>
        <w:t xml:space="preserve"> Declaração de inidoneidade para licitar ou contratar, enquanto perdurarem os motivos determinantes da punição ou até que seja promovida sua reabilitação perante a própria autoridade que aplicou a penalidade.</w:t>
      </w:r>
      <w:r/>
    </w:p>
    <w:p w14:paraId="37FBAA36" w14:textId="77777777">
      <w:pPr>
        <w:pBdr/>
        <w:spacing/>
        <w:ind w:left="284"/>
        <w:jc w:val="both"/>
        <w:rPr>
          <w:rFonts w:ascii="Arial" w:cs="Arial"/>
        </w:rPr>
      </w:pPr>
      <w:r>
        <w:rPr>
          <w:rFonts w:ascii="Arial" w:cs="Arial"/>
        </w:rPr>
      </w:r>
      <w:r>
        <w:rPr>
          <w:rFonts w:ascii="Arial" w:cs="Arial"/>
        </w:rPr>
      </w:r>
    </w:p>
    <w:p w14:paraId="4CBDA512" w14:textId="77777777">
      <w:pPr>
        <w:pBdr/>
        <w:spacing/>
        <w:ind/>
        <w:jc w:val="both"/>
        <w:rPr/>
      </w:pPr>
      <w:r>
        <w:rPr>
          <w:rFonts w:ascii="Arial" w:hAnsi="Arial" w:cs="Arial"/>
          <w:b/>
        </w:rPr>
        <w:t xml:space="preserve">23.3.</w:t>
      </w:r>
      <w:r>
        <w:rPr>
          <w:rFonts w:ascii="Arial" w:hAnsi="Arial" w:cs="Arial"/>
        </w:rPr>
        <w:t xml:space="preserve"> Na aplicação das sanções serão considerados:</w:t>
      </w:r>
      <w:r/>
    </w:p>
    <w:p w14:paraId="22727A02" w14:textId="77777777">
      <w:pPr>
        <w:pBdr/>
        <w:spacing/>
        <w:ind w:left="284"/>
        <w:jc w:val="both"/>
        <w:rPr>
          <w:rFonts w:ascii="Arial" w:cs="Arial"/>
        </w:rPr>
      </w:pPr>
      <w:r>
        <w:rPr>
          <w:rFonts w:ascii="Arial" w:cs="Arial"/>
        </w:rPr>
      </w:r>
      <w:r>
        <w:rPr>
          <w:rFonts w:ascii="Arial" w:cs="Arial"/>
        </w:rPr>
      </w:r>
    </w:p>
    <w:p w14:paraId="1CBF69BB" w14:textId="77777777">
      <w:pPr>
        <w:pBdr/>
        <w:spacing/>
        <w:ind w:left="284"/>
        <w:jc w:val="both"/>
        <w:rPr/>
      </w:pPr>
      <w:r>
        <w:rPr>
          <w:rFonts w:ascii="Arial" w:hAnsi="Arial" w:cs="Arial"/>
          <w:b/>
        </w:rPr>
        <w:t xml:space="preserve">23.3.1. </w:t>
      </w:r>
      <w:r>
        <w:rPr>
          <w:rFonts w:ascii="Arial" w:hAnsi="Arial" w:cs="Arial"/>
        </w:rPr>
        <w:t xml:space="preserve">A natureza e a gravidade da infração cometida.</w:t>
      </w:r>
      <w:r/>
    </w:p>
    <w:p w14:paraId="7647FDF3" w14:textId="77777777">
      <w:pPr>
        <w:pBdr/>
        <w:spacing/>
        <w:ind w:left="284"/>
        <w:jc w:val="both"/>
        <w:rPr>
          <w:rFonts w:ascii="Arial" w:cs="Arial"/>
          <w:b/>
        </w:rPr>
      </w:pPr>
      <w:r>
        <w:rPr>
          <w:rFonts w:ascii="Arial" w:cs="Arial"/>
          <w:b/>
        </w:rPr>
      </w:r>
      <w:r>
        <w:rPr>
          <w:rFonts w:ascii="Arial" w:cs="Arial"/>
          <w:b/>
        </w:rPr>
      </w:r>
    </w:p>
    <w:p w14:paraId="42E65D5F" w14:textId="77777777">
      <w:pPr>
        <w:pBdr/>
        <w:spacing/>
        <w:ind w:left="284"/>
        <w:jc w:val="both"/>
        <w:rPr/>
      </w:pPr>
      <w:r>
        <w:rPr>
          <w:rFonts w:ascii="Arial" w:hAnsi="Arial" w:cs="Arial"/>
          <w:b/>
        </w:rPr>
        <w:t xml:space="preserve">23.3.2. </w:t>
      </w:r>
      <w:r>
        <w:rPr>
          <w:rFonts w:ascii="Arial" w:hAnsi="Arial" w:cs="Arial"/>
        </w:rPr>
        <w:t xml:space="preserve">As peculiaridades do caso concreto</w:t>
      </w:r>
      <w:r/>
    </w:p>
    <w:p w14:paraId="1A98D65D" w14:textId="77777777">
      <w:pPr>
        <w:pBdr/>
        <w:spacing/>
        <w:ind w:left="284"/>
        <w:jc w:val="both"/>
        <w:rPr>
          <w:rFonts w:ascii="Arial" w:cs="Arial"/>
          <w:b/>
        </w:rPr>
      </w:pPr>
      <w:r>
        <w:rPr>
          <w:rFonts w:ascii="Arial" w:cs="Arial"/>
          <w:b/>
        </w:rPr>
      </w:r>
      <w:r>
        <w:rPr>
          <w:rFonts w:ascii="Arial" w:cs="Arial"/>
          <w:b/>
        </w:rPr>
      </w:r>
    </w:p>
    <w:p w14:paraId="746460E2" w14:textId="77777777">
      <w:pPr>
        <w:pBdr/>
        <w:spacing/>
        <w:ind w:left="284"/>
        <w:jc w:val="both"/>
        <w:rPr/>
      </w:pPr>
      <w:r>
        <w:rPr>
          <w:rFonts w:ascii="Arial" w:hAnsi="Arial" w:cs="Arial"/>
          <w:b/>
        </w:rPr>
        <w:t xml:space="preserve">23.3.3. </w:t>
      </w:r>
      <w:r>
        <w:rPr>
          <w:rFonts w:ascii="Arial" w:hAnsi="Arial" w:cs="Arial"/>
        </w:rPr>
        <w:t xml:space="preserve">As circunstâncias agravantes ou atenuantes</w:t>
      </w:r>
      <w:r/>
    </w:p>
    <w:p w14:paraId="49E5B9A8" w14:textId="77777777">
      <w:pPr>
        <w:pBdr/>
        <w:spacing/>
        <w:ind w:left="284"/>
        <w:jc w:val="both"/>
        <w:rPr>
          <w:rFonts w:ascii="Arial" w:cs="Arial"/>
        </w:rPr>
      </w:pPr>
      <w:r>
        <w:rPr>
          <w:rFonts w:ascii="Arial" w:cs="Arial"/>
        </w:rPr>
      </w:r>
      <w:r>
        <w:rPr>
          <w:rFonts w:ascii="Arial" w:cs="Arial"/>
        </w:rPr>
      </w:r>
    </w:p>
    <w:p w14:paraId="0D10501B" w14:textId="77777777">
      <w:pPr>
        <w:pBdr/>
        <w:spacing/>
        <w:ind w:left="284"/>
        <w:jc w:val="both"/>
        <w:rPr/>
      </w:pPr>
      <w:r>
        <w:rPr>
          <w:rFonts w:ascii="Arial" w:hAnsi="Arial" w:cs="Arial"/>
          <w:b/>
        </w:rPr>
        <w:t xml:space="preserve">23.3.4. </w:t>
      </w:r>
      <w:r>
        <w:rPr>
          <w:rFonts w:ascii="Arial" w:hAnsi="Arial" w:cs="Arial"/>
        </w:rPr>
        <w:t xml:space="preserve">Os danos que dela provierem para a Administração Pública</w:t>
      </w:r>
      <w:r/>
    </w:p>
    <w:p w14:paraId="45DDC8C4" w14:textId="77777777">
      <w:pPr>
        <w:pBdr/>
        <w:spacing/>
        <w:ind w:left="284"/>
        <w:jc w:val="both"/>
        <w:rPr>
          <w:rFonts w:ascii="Arial" w:cs="Arial"/>
        </w:rPr>
      </w:pPr>
      <w:r>
        <w:rPr>
          <w:rFonts w:ascii="Arial" w:cs="Arial"/>
        </w:rPr>
      </w:r>
      <w:r>
        <w:rPr>
          <w:rFonts w:ascii="Arial" w:cs="Arial"/>
        </w:rPr>
      </w:r>
    </w:p>
    <w:p w14:paraId="686BE071" w14:textId="77777777">
      <w:pPr>
        <w:pBdr/>
        <w:spacing/>
        <w:ind w:left="284"/>
        <w:jc w:val="both"/>
        <w:rPr/>
      </w:pPr>
      <w:r>
        <w:rPr>
          <w:rFonts w:ascii="Arial" w:hAnsi="Arial" w:cs="Arial"/>
          <w:b/>
        </w:rPr>
        <w:t xml:space="preserve">23.3.5. </w:t>
      </w:r>
      <w:r>
        <w:rPr>
          <w:rFonts w:ascii="Arial" w:hAnsi="Arial" w:cs="Arial"/>
        </w:rPr>
        <w:t xml:space="preserve">A implantação ou o aperfeiçoamento de programa de integridade, conforme normas e orientações dos órgãos de controle.</w:t>
      </w:r>
      <w:r/>
    </w:p>
    <w:p w14:paraId="0D8E35B5" w14:textId="77777777">
      <w:pPr>
        <w:pBdr/>
        <w:spacing/>
        <w:ind w:left="284"/>
        <w:jc w:val="both"/>
        <w:rPr>
          <w:rFonts w:ascii="Arial" w:cs="Arial"/>
          <w:b/>
        </w:rPr>
      </w:pPr>
      <w:r>
        <w:rPr>
          <w:rFonts w:ascii="Arial" w:cs="Arial"/>
          <w:b/>
        </w:rPr>
      </w:r>
      <w:r>
        <w:rPr>
          <w:rFonts w:ascii="Arial" w:cs="Arial"/>
          <w:b/>
        </w:rPr>
      </w:r>
    </w:p>
    <w:p w14:paraId="23AF0E63" w14:textId="77777777">
      <w:pPr>
        <w:pBdr/>
        <w:spacing/>
        <w:ind/>
        <w:jc w:val="both"/>
        <w:rPr/>
      </w:pPr>
      <w:r>
        <w:rPr>
          <w:rFonts w:ascii="Arial" w:hAnsi="Arial" w:cs="Arial"/>
          <w:b/>
        </w:rPr>
        <w:t xml:space="preserve">23.4.</w:t>
      </w:r>
      <w:r>
        <w:rPr>
          <w:rFonts w:ascii="Arial" w:hAnsi="Arial" w:cs="Arial"/>
        </w:rPr>
        <w:t xml:space="preserve"> A multa será recolhida em percentual de 0,5% a 30% incidente sobre o valor do contrato licitado, recolhida no prazo máximo de </w:t>
      </w:r>
      <w:r>
        <w:rPr>
          <w:rFonts w:ascii="Arial" w:hAnsi="Arial" w:cs="Arial"/>
          <w:b/>
          <w:color w:val="000000"/>
        </w:rPr>
        <w:t xml:space="preserve">30 (trinta) dias</w:t>
      </w:r>
      <w:r>
        <w:rPr>
          <w:rFonts w:ascii="Arial" w:hAnsi="Arial" w:cs="Arial"/>
          <w:color w:val="ff0000"/>
        </w:rPr>
        <w:t xml:space="preserve"> </w:t>
      </w:r>
      <w:r>
        <w:rPr>
          <w:rFonts w:ascii="Arial" w:hAnsi="Arial" w:cs="Arial"/>
        </w:rPr>
        <w:t xml:space="preserve">úteis, a contar da comunicação oficial. </w:t>
      </w:r>
      <w:r/>
    </w:p>
    <w:p w14:paraId="0DC7B732" w14:textId="77777777">
      <w:pPr>
        <w:pBdr/>
        <w:spacing/>
        <w:ind w:left="284"/>
        <w:jc w:val="both"/>
        <w:rPr>
          <w:rFonts w:ascii="Arial" w:cs="Arial"/>
          <w:b/>
        </w:rPr>
      </w:pPr>
      <w:r>
        <w:rPr>
          <w:rFonts w:ascii="Arial" w:cs="Arial"/>
          <w:b/>
        </w:rPr>
      </w:r>
      <w:r>
        <w:rPr>
          <w:rFonts w:ascii="Arial" w:cs="Arial"/>
          <w:b/>
        </w:rPr>
      </w:r>
    </w:p>
    <w:p w14:paraId="41CBBABA" w14:textId="77777777">
      <w:pPr>
        <w:pBdr/>
        <w:spacing/>
        <w:ind w:left="284"/>
        <w:jc w:val="both"/>
        <w:rPr/>
      </w:pPr>
      <w:r>
        <w:rPr>
          <w:rFonts w:ascii="Arial" w:hAnsi="Arial" w:cs="Arial"/>
          <w:b/>
        </w:rPr>
        <w:t xml:space="preserve">23.4.</w:t>
      </w:r>
      <w:r>
        <w:rPr>
          <w:rFonts w:ascii="Arial" w:hAnsi="Arial" w:cs="Arial"/>
        </w:rPr>
        <w:t xml:space="preserve">1. Para as infrações previstas nos itens </w:t>
      </w:r>
      <w:r>
        <w:rPr>
          <w:rFonts w:ascii="Arial" w:hAnsi="Arial" w:cs="Arial"/>
          <w:b/>
          <w:color w:val="000000"/>
          <w:u w:val="single"/>
        </w:rPr>
        <w:t xml:space="preserve">23.1.1, 23.1.2, e 23.1.3</w:t>
      </w:r>
      <w:r>
        <w:rPr>
          <w:rFonts w:ascii="Arial" w:cs="Arial"/>
          <w:color w:val="000000"/>
        </w:rPr>
        <w:t xml:space="preserve">,</w:t>
      </w:r>
      <w:r>
        <w:rPr>
          <w:rFonts w:ascii="Arial" w:hAnsi="Arial" w:cs="Arial"/>
        </w:rPr>
        <w:t xml:space="preserve"> a multa será de </w:t>
      </w:r>
      <w:r>
        <w:rPr>
          <w:rFonts w:ascii="Arial" w:hAnsi="Arial" w:cs="Arial"/>
          <w:b/>
          <w:color w:val="000000"/>
        </w:rPr>
        <w:t xml:space="preserve">0,5%</w:t>
      </w:r>
      <w:r>
        <w:rPr>
          <w:rFonts w:ascii="Arial" w:hAnsi="Arial" w:cs="Arial"/>
          <w:color w:val="ff0000"/>
        </w:rPr>
        <w:t xml:space="preserve"> </w:t>
      </w:r>
      <w:r>
        <w:rPr>
          <w:rFonts w:ascii="Arial" w:hAnsi="Arial" w:cs="Arial"/>
        </w:rPr>
        <w:t xml:space="preserve">a </w:t>
      </w:r>
      <w:r>
        <w:rPr>
          <w:rFonts w:ascii="Arial" w:hAnsi="Arial" w:cs="Arial"/>
          <w:b/>
          <w:color w:val="000000"/>
        </w:rPr>
        <w:t xml:space="preserve">15%</w:t>
      </w:r>
      <w:r>
        <w:rPr>
          <w:rFonts w:ascii="Arial" w:hAnsi="Arial" w:cs="Arial"/>
          <w:color w:val="0000ff"/>
        </w:rPr>
        <w:t xml:space="preserve"> </w:t>
      </w:r>
      <w:r>
        <w:rPr>
          <w:rFonts w:ascii="Arial" w:hAnsi="Arial" w:cs="Arial"/>
        </w:rPr>
        <w:t xml:space="preserve">do valor do contrato licitado. </w:t>
      </w:r>
      <w:r/>
    </w:p>
    <w:p w14:paraId="3FC748F0" w14:textId="77777777">
      <w:pPr>
        <w:pBdr/>
        <w:spacing/>
        <w:ind w:left="284"/>
        <w:jc w:val="both"/>
        <w:rPr>
          <w:rFonts w:ascii="Arial" w:cs="Arial"/>
        </w:rPr>
      </w:pPr>
      <w:r/>
      <w:bookmarkStart w:id="81" w:name="_Hlk113876035"/>
      <w:r/>
      <w:bookmarkEnd w:id="81"/>
      <w:r/>
      <w:r>
        <w:rPr>
          <w:rFonts w:ascii="Arial" w:cs="Arial"/>
        </w:rPr>
      </w:r>
    </w:p>
    <w:p w14:paraId="5B45F115" w14:textId="77777777">
      <w:pPr>
        <w:pBdr/>
        <w:spacing/>
        <w:ind w:left="284"/>
        <w:jc w:val="both"/>
        <w:rPr/>
      </w:pPr>
      <w:r>
        <w:rPr>
          <w:rFonts w:ascii="Arial" w:hAnsi="Arial" w:cs="Arial"/>
          <w:b/>
        </w:rPr>
        <w:t xml:space="preserve">23.4.2.</w:t>
      </w:r>
      <w:r>
        <w:rPr>
          <w:rFonts w:ascii="Arial" w:hAnsi="Arial" w:cs="Arial"/>
        </w:rPr>
        <w:t xml:space="preserve"> Para as infrações previstas nos itens </w:t>
      </w:r>
      <w:r>
        <w:rPr>
          <w:rFonts w:ascii="Arial" w:hAnsi="Arial" w:cs="Arial"/>
          <w:b/>
          <w:color w:val="000000"/>
          <w:u w:val="single"/>
        </w:rPr>
        <w:t xml:space="preserve">23.1.4, 23.1.5, 23.1.6, 23.1.7, e 23.1.8,</w:t>
      </w:r>
      <w:r>
        <w:rPr>
          <w:rFonts w:ascii="Arial" w:hAnsi="Arial" w:cs="Arial"/>
          <w:color w:val="ff0000"/>
        </w:rPr>
        <w:t xml:space="preserve"> </w:t>
      </w:r>
      <w:r>
        <w:rPr>
          <w:rFonts w:ascii="Arial" w:hAnsi="Arial" w:cs="Arial"/>
        </w:rPr>
        <w:t xml:space="preserve">a multa será de </w:t>
      </w:r>
      <w:r>
        <w:rPr>
          <w:rFonts w:ascii="Arial" w:hAnsi="Arial" w:cs="Arial"/>
          <w:b/>
          <w:color w:val="000000"/>
        </w:rPr>
        <w:t xml:space="preserve">15%</w:t>
      </w:r>
      <w:r>
        <w:rPr>
          <w:rFonts w:ascii="Arial" w:hAnsi="Arial" w:cs="Arial"/>
          <w:color w:val="0000ff"/>
        </w:rPr>
        <w:t xml:space="preserve"> </w:t>
      </w:r>
      <w:r>
        <w:rPr>
          <w:rFonts w:ascii="Arial" w:hAnsi="Arial" w:cs="Arial"/>
        </w:rPr>
        <w:t xml:space="preserve">a </w:t>
      </w:r>
      <w:r>
        <w:rPr>
          <w:rFonts w:ascii="Arial" w:hAnsi="Arial" w:cs="Arial"/>
          <w:b/>
          <w:color w:val="000000"/>
        </w:rPr>
        <w:t xml:space="preserve">30%</w:t>
      </w:r>
      <w:r>
        <w:rPr>
          <w:rFonts w:ascii="Arial" w:hAnsi="Arial" w:cs="Arial"/>
          <w:color w:val="0000ff"/>
        </w:rPr>
        <w:t xml:space="preserve"> </w:t>
      </w:r>
      <w:r>
        <w:rPr>
          <w:rFonts w:ascii="Arial" w:hAnsi="Arial" w:cs="Arial"/>
        </w:rPr>
        <w:t xml:space="preserve">do valor do contrato licitado.</w:t>
      </w:r>
      <w:r/>
    </w:p>
    <w:p w14:paraId="253EA0ED" w14:textId="77777777">
      <w:pPr>
        <w:pBdr/>
        <w:spacing/>
        <w:ind w:left="284"/>
        <w:jc w:val="both"/>
        <w:rPr>
          <w:rFonts w:ascii="Arial" w:cs="Arial"/>
        </w:rPr>
      </w:pPr>
      <w:r>
        <w:rPr>
          <w:rFonts w:ascii="Arial" w:cs="Arial"/>
        </w:rPr>
      </w:r>
      <w:r>
        <w:rPr>
          <w:rFonts w:ascii="Arial" w:cs="Arial"/>
        </w:rPr>
      </w:r>
    </w:p>
    <w:p w14:paraId="6EB065F5" w14:textId="77777777">
      <w:pPr>
        <w:pBdr/>
        <w:spacing/>
        <w:ind/>
        <w:jc w:val="both"/>
        <w:rPr/>
      </w:pPr>
      <w:r>
        <w:rPr>
          <w:rFonts w:ascii="Arial" w:hAnsi="Arial" w:cs="Arial"/>
          <w:b/>
        </w:rPr>
        <w:t xml:space="preserve">23.5. </w:t>
      </w:r>
      <w:r>
        <w:rPr>
          <w:rFonts w:ascii="Arial" w:hAnsi="Arial" w:cs="Arial"/>
        </w:rPr>
        <w:t xml:space="preserve">As sanções de advertência, impedimento de licitar e contratar e declaração de inidoneidade para licitar ou contratar poderão ser aplicadas, cumulativamente ou não, à penalidade de multa.</w:t>
      </w:r>
      <w:r/>
    </w:p>
    <w:p w14:paraId="00445B3F" w14:textId="77777777">
      <w:pPr>
        <w:pBdr/>
        <w:spacing/>
        <w:ind w:left="284"/>
        <w:jc w:val="both"/>
        <w:rPr>
          <w:rFonts w:ascii="Arial" w:cs="Arial"/>
        </w:rPr>
      </w:pPr>
      <w:r>
        <w:rPr>
          <w:rFonts w:ascii="Arial" w:cs="Arial"/>
        </w:rPr>
      </w:r>
      <w:r>
        <w:rPr>
          <w:rFonts w:ascii="Arial" w:cs="Arial"/>
        </w:rPr>
      </w:r>
    </w:p>
    <w:p w14:paraId="596D4173" w14:textId="77777777">
      <w:pPr>
        <w:pBdr/>
        <w:spacing/>
        <w:ind/>
        <w:jc w:val="both"/>
        <w:rPr/>
      </w:pPr>
      <w:r>
        <w:rPr>
          <w:rFonts w:ascii="Arial" w:hAnsi="Arial" w:cs="Arial"/>
          <w:b/>
        </w:rPr>
        <w:t xml:space="preserve">23.6. </w:t>
      </w:r>
      <w:r>
        <w:rPr>
          <w:rFonts w:ascii="Arial" w:hAnsi="Arial" w:cs="Arial"/>
        </w:rPr>
        <w:t xml:space="preserve">Na aplicação da sanção de multa será facultada a defesa do interessado no prazo de 15 (quinze) dias úteis, contado da data de sua intimação.</w:t>
      </w:r>
      <w:r/>
    </w:p>
    <w:p w14:paraId="4F74B025" w14:textId="77777777">
      <w:pPr>
        <w:pBdr/>
        <w:spacing/>
        <w:ind w:left="284"/>
        <w:jc w:val="both"/>
        <w:rPr>
          <w:rFonts w:ascii="Arial" w:cs="Arial"/>
        </w:rPr>
      </w:pPr>
      <w:r>
        <w:rPr>
          <w:rFonts w:ascii="Arial" w:cs="Arial"/>
        </w:rPr>
      </w:r>
      <w:r>
        <w:rPr>
          <w:rFonts w:ascii="Arial" w:cs="Arial"/>
        </w:rPr>
      </w:r>
    </w:p>
    <w:p w14:paraId="4A965BB9" w14:textId="77777777">
      <w:pPr>
        <w:pBdr/>
        <w:spacing/>
        <w:ind/>
        <w:jc w:val="both"/>
        <w:rPr/>
      </w:pPr>
      <w:r>
        <w:rPr>
          <w:rFonts w:ascii="Arial" w:hAnsi="Arial" w:cs="Arial"/>
          <w:b/>
        </w:rPr>
        <w:t xml:space="preserve">23.7. </w:t>
      </w:r>
      <w:r>
        <w:rPr>
          <w:rFonts w:ascii="Arial" w:hAnsi="Arial" w:cs="Arial"/>
        </w:rPr>
        <w:t xml:space="preserve">A sanção de impedimento de licitar e contratar será aplicada ao responsável em decorrência das infrações administrativas relacionadas nos itens </w:t>
      </w:r>
      <w:r>
        <w:rPr>
          <w:rFonts w:ascii="Arial" w:hAnsi="Arial" w:cs="Arial"/>
          <w:b/>
          <w:color w:val="000000"/>
          <w:u w:val="single"/>
        </w:rPr>
        <w:t xml:space="preserve">23.1.1, 23.1.2, e 23.1.3</w:t>
      </w:r>
      <w:r>
        <w:rPr>
          <w:rFonts w:ascii="Arial" w:cs="Arial"/>
          <w:color w:val="000000"/>
        </w:rPr>
        <w:t xml:space="preserve">,</w:t>
      </w:r>
      <w:r>
        <w:rPr>
          <w:rFonts w:ascii="Arial" w:hAnsi="Arial" w:cs="Arial"/>
          <w:color w:val="ff0000"/>
        </w:rPr>
        <w:t xml:space="preserve"> </w:t>
      </w:r>
      <w:r>
        <w:rPr>
          <w:rFonts w:ascii="Arial" w:hAnsi="Arial" w:cs="Arial"/>
        </w:rPr>
        <w:t xml:space="preserve">quando não se justificar a imposição de penalidade mais grave, e impedirá o responsável de licitar e contratar no âmbito da Administração Pública direta e indireta do ente federativo a qual pertencer o órgão ou entidade, pelo prazo máximo de 3 (três) anos.</w:t>
      </w:r>
      <w:r/>
    </w:p>
    <w:p w14:paraId="0549B1B6" w14:textId="77777777">
      <w:pPr>
        <w:pBdr/>
        <w:spacing/>
        <w:ind w:left="284"/>
        <w:jc w:val="both"/>
        <w:rPr>
          <w:rFonts w:ascii="Arial" w:cs="Arial"/>
        </w:rPr>
      </w:pPr>
      <w:r>
        <w:rPr>
          <w:rFonts w:ascii="Arial" w:cs="Arial"/>
        </w:rPr>
      </w:r>
      <w:r>
        <w:rPr>
          <w:rFonts w:ascii="Arial" w:cs="Arial"/>
        </w:rPr>
      </w:r>
    </w:p>
    <w:p w14:paraId="77333D00" w14:textId="77777777">
      <w:pPr>
        <w:pBdr/>
        <w:spacing/>
        <w:ind/>
        <w:jc w:val="both"/>
        <w:rPr/>
      </w:pPr>
      <w:r>
        <w:rPr>
          <w:rFonts w:ascii="Arial" w:hAnsi="Arial" w:cs="Arial"/>
          <w:b/>
        </w:rPr>
        <w:t xml:space="preserve">23.8. </w:t>
      </w:r>
      <w:r>
        <w:rPr>
          <w:rFonts w:ascii="Arial" w:hAnsi="Arial" w:cs="Arial"/>
        </w:rPr>
        <w:t xml:space="preserve">Poderá ser aplicada ao responsável a sanção de declaração de inidoneidade para licitar ou contratar, em decorrência da prática das infrações dispostas nos itens </w:t>
      </w:r>
      <w:r>
        <w:rPr>
          <w:rFonts w:ascii="Arial" w:hAnsi="Arial" w:cs="Arial"/>
          <w:b/>
          <w:color w:val="000000"/>
          <w:u w:val="single"/>
        </w:rPr>
        <w:t xml:space="preserve">23.1.4, 23.1.5, 23.1.6, 23.1.7, e 23.1.8,</w:t>
      </w:r>
      <w:r>
        <w:rPr>
          <w:rFonts w:ascii="Arial" w:hAnsi="Arial" w:cs="Arial"/>
          <w:color w:val="ff0000"/>
        </w:rPr>
        <w:t xml:space="preserve"> </w:t>
      </w:r>
      <w:r>
        <w:rPr>
          <w:rFonts w:ascii="Arial" w:hAnsi="Arial" w:cs="Arial"/>
        </w:rPr>
        <w:t xml:space="preserve">bem como pelas infrações administrativas previstas nos itens </w:t>
      </w:r>
      <w:r>
        <w:rPr>
          <w:rFonts w:ascii="Arial" w:hAnsi="Arial" w:cs="Arial"/>
          <w:b/>
          <w:color w:val="000000"/>
          <w:u w:val="single"/>
        </w:rPr>
        <w:t xml:space="preserve">23.1.1, 23.1.2, e 23.1.3</w:t>
      </w:r>
      <w:r>
        <w:rPr>
          <w:rFonts w:ascii="Arial" w:cs="Arial"/>
          <w:color w:val="000000"/>
        </w:rPr>
        <w:t xml:space="preserve">,</w:t>
      </w:r>
      <w:r>
        <w:rPr>
          <w:rFonts w:ascii="Arial" w:hAnsi="Arial" w:cs="Arial"/>
        </w:rPr>
        <w:t xml:space="preserve"> que justifiquem a imposição de penalidade mais grave que a sanção de impedimento de licitar e contratar, cuja duração observará o prazo previsto no </w:t>
      </w:r>
      <w:hyperlink r:id="rId41" w:tooltip="http://www.planalto.gov.br/ccivil_03/_ato2019-2022/2021/lei/L14133.htm#art156§5" w:anchor="art156§5" w:history="1">
        <w:r>
          <w:rPr>
            <w:rFonts w:ascii="Arial" w:hAnsi="Arial" w:cs="Arial"/>
          </w:rPr>
          <w:t xml:space="preserve">art. 156, §5º, da Lei n.º 14.133/2021</w:t>
        </w:r>
      </w:hyperlink>
      <w:r>
        <w:rPr>
          <w:rFonts w:ascii="Arial" w:cs="Arial"/>
        </w:rPr>
        <w:t xml:space="preserve">.</w:t>
      </w:r>
      <w:r/>
    </w:p>
    <w:p w14:paraId="03B81773" w14:textId="77777777">
      <w:pPr>
        <w:pBdr/>
        <w:spacing/>
        <w:ind w:left="284"/>
        <w:jc w:val="both"/>
        <w:rPr>
          <w:rFonts w:ascii="Arial" w:cs="Arial"/>
        </w:rPr>
      </w:pPr>
      <w:r>
        <w:rPr>
          <w:rFonts w:ascii="Arial" w:cs="Arial"/>
        </w:rPr>
      </w:r>
      <w:r>
        <w:rPr>
          <w:rFonts w:ascii="Arial" w:cs="Arial"/>
        </w:rPr>
      </w:r>
    </w:p>
    <w:p w14:paraId="4868405D" w14:textId="77777777">
      <w:pPr>
        <w:pBdr/>
        <w:spacing/>
        <w:ind/>
        <w:jc w:val="both"/>
        <w:rPr/>
      </w:pPr>
      <w:r>
        <w:rPr>
          <w:rFonts w:ascii="Arial" w:hAnsi="Arial" w:cs="Arial"/>
          <w:b/>
        </w:rPr>
        <w:t xml:space="preserve">23.9. </w:t>
      </w:r>
      <w:r>
        <w:rPr>
          <w:rFonts w:ascii="Arial" w:hAnsi="Arial" w:cs="Arial"/>
        </w:rPr>
        <w:t xml:space="preserve">A recusa injustificada do adjudicatário em assinar o contrato ou a ata de registro de preço, ou em aceitar ou retirar o instrumento equivalente no praz</w:t>
      </w:r>
      <w:r>
        <w:rPr>
          <w:rFonts w:ascii="Arial" w:hAnsi="Arial" w:cs="Arial"/>
        </w:rPr>
        <w:t xml:space="preserve">o estabelecido pela Administração, descrita nesse edital caracterizará o descumprimento total da obrigação assumida e o sujeitará às penalidades e à imediata perda da garantia de proposta em favor do órgão ou entidade promotora da licitação, nos termos do </w:t>
      </w:r>
      <w:hyperlink r:id="rId42" w:tooltip="https://www.gov.br/compras/pt-br/acesso-a-informacao/legislacao/instrucoes-normativas/instrucao-normativa-seges-me-no-73-de-30-de-setembro-de-2022" w:history="1">
        <w:r>
          <w:rPr>
            <w:rFonts w:ascii="Arial" w:hAnsi="Arial" w:cs="Arial"/>
          </w:rPr>
          <w:t xml:space="preserve">art. 45, §4º da IN SEGES/ME n.º 73, de 2022</w:t>
        </w:r>
      </w:hyperlink>
      <w:r>
        <w:rPr>
          <w:rFonts w:ascii="Arial" w:hAnsi="Arial" w:cs="Arial"/>
        </w:rPr>
        <w:t xml:space="preserve">. </w:t>
      </w:r>
      <w:r/>
    </w:p>
    <w:p w14:paraId="627A025B" w14:textId="77777777">
      <w:pPr>
        <w:pBdr/>
        <w:spacing/>
        <w:ind w:left="284"/>
        <w:jc w:val="both"/>
        <w:rPr>
          <w:rFonts w:ascii="Arial" w:cs="Arial"/>
        </w:rPr>
      </w:pPr>
      <w:r>
        <w:rPr>
          <w:rFonts w:ascii="Arial" w:cs="Arial"/>
        </w:rPr>
      </w:r>
      <w:r>
        <w:rPr>
          <w:rFonts w:ascii="Arial" w:cs="Arial"/>
        </w:rPr>
      </w:r>
    </w:p>
    <w:p w14:paraId="7DB93D57" w14:textId="77777777">
      <w:pPr>
        <w:pBdr/>
        <w:spacing/>
        <w:ind/>
        <w:jc w:val="both"/>
        <w:rPr/>
      </w:pPr>
      <w:r>
        <w:rPr>
          <w:rFonts w:ascii="Arial" w:hAnsi="Arial" w:cs="Arial"/>
          <w:b/>
          <w:sz w:val="19"/>
          <w:szCs w:val="19"/>
        </w:rPr>
        <w:t xml:space="preserve">23.10. </w:t>
      </w:r>
      <w:r>
        <w:rPr>
          <w:rFonts w:ascii="Arial" w:hAnsi="Arial" w:cs="Arial"/>
          <w:sz w:val="19"/>
          <w:szCs w:val="19"/>
        </w:rPr>
        <w:t xml:space="preserve">A apuração de </w:t>
      </w:r>
      <w:r>
        <w:rPr>
          <w:rFonts w:ascii="Arial" w:hAnsi="Arial" w:cs="Arial"/>
          <w:sz w:val="19"/>
          <w:szCs w:val="19"/>
        </w:rPr>
        <w:t xml:space="preserve">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rFonts w:ascii="Arial" w:hAnsi="Arial" w:cs="Arial"/>
          <w:sz w:val="19"/>
          <w:szCs w:val="19"/>
        </w:rPr>
        <w:t xml:space="preserve">vidores estáveis, que avaliará fatos e circunstâncias conhecidos e intimará o licitante ou o adjudicatário para, no prazo de 15 (quinze) dias úteis, contado da data de sua intimação, apresentar defesa escrita e especificar as provas que pretenda produzir. </w:t>
      </w:r>
      <w:r/>
    </w:p>
    <w:p w14:paraId="46731C1B" w14:textId="77777777">
      <w:pPr>
        <w:pBdr/>
        <w:spacing/>
        <w:ind w:left="284"/>
        <w:jc w:val="both"/>
        <w:rPr>
          <w:rFonts w:ascii="Arial" w:cs="Arial"/>
        </w:rPr>
      </w:pPr>
      <w:r>
        <w:rPr>
          <w:rFonts w:ascii="Arial" w:cs="Arial"/>
        </w:rPr>
      </w:r>
      <w:r>
        <w:rPr>
          <w:rFonts w:ascii="Arial" w:cs="Arial"/>
        </w:rPr>
      </w:r>
    </w:p>
    <w:p w14:paraId="490A080E" w14:textId="77777777">
      <w:pPr>
        <w:pBdr/>
        <w:spacing/>
        <w:ind/>
        <w:jc w:val="both"/>
        <w:rPr/>
      </w:pPr>
      <w:r>
        <w:rPr>
          <w:rFonts w:ascii="Arial" w:hAnsi="Arial" w:cs="Arial"/>
          <w:b/>
        </w:rPr>
        <w:t xml:space="preserve">23.11. </w:t>
      </w:r>
      <w:r>
        <w:rPr>
          <w:rFonts w:ascii="Arial" w:hAnsi="Arial" w:cs="Arial"/>
        </w:rPr>
        <w:t xml:space="preserve">Caberá recurso no prazo de 15 (quinze) dias úteis da aplicação das sanções de advertência, multa e impedimento de licitar e contratar, contado da data da intimação, o qual será dirigido à autoridade que tiver profer</w:t>
      </w:r>
      <w:r>
        <w:rPr>
          <w:rFonts w:ascii="Arial" w:hAnsi="Arial" w:cs="Arial"/>
        </w:rPr>
        <w:t xml:space="preserve">ido a decisão recorrida, que, se não a reconsiderar no prazo de 5 (cinco) dias úteis, encaminhará o recurso com sua motivação à autoridade superior, que deverá proferir sua decisão no prazo máximo de 20 (vinte) dias úteis, contado do recebimento dos autos.</w:t>
      </w:r>
      <w:r/>
    </w:p>
    <w:p w14:paraId="20E3EF88" w14:textId="77777777">
      <w:pPr>
        <w:pBdr/>
        <w:spacing/>
        <w:ind w:left="284"/>
        <w:jc w:val="both"/>
        <w:rPr>
          <w:rFonts w:ascii="Arial" w:cs="Arial"/>
          <w:b/>
        </w:rPr>
      </w:pPr>
      <w:r>
        <w:rPr>
          <w:rFonts w:ascii="Arial" w:cs="Arial"/>
          <w:b/>
        </w:rPr>
      </w:r>
      <w:r>
        <w:rPr>
          <w:rFonts w:ascii="Arial" w:cs="Arial"/>
          <w:b/>
        </w:rPr>
      </w:r>
    </w:p>
    <w:p w14:paraId="63690434" w14:textId="77777777">
      <w:pPr>
        <w:pBdr/>
        <w:spacing/>
        <w:ind/>
        <w:jc w:val="both"/>
        <w:rPr/>
      </w:pPr>
      <w:r>
        <w:rPr>
          <w:rFonts w:ascii="Arial" w:hAnsi="Arial" w:cs="Arial"/>
          <w:b/>
        </w:rPr>
        <w:t xml:space="preserve">23.12. </w:t>
      </w:r>
      <w:r>
        <w:rPr>
          <w:rFonts w:ascii="Arial" w:hAnsi="Arial" w:cs="Arial"/>
        </w:rPr>
        <w:t xml:space="preserve">Caberá a apresentaç</w:t>
      </w:r>
      <w:r>
        <w:rPr>
          <w:rFonts w:ascii="Arial" w:hAnsi="Arial" w:cs="Arial"/>
        </w:rPr>
        <w:t xml:space="preserve">ão de pedido de reconsideração da aplicação da sanção de declaração de inidoneidade para licitar ou contratar no prazo de 15 (quinze) dias úteis, contado da data da intimação, e decidido no prazo máximo de 20 (vinte) dias úteis, contado do seu recebimento.</w:t>
      </w:r>
      <w:r/>
    </w:p>
    <w:p w14:paraId="4ED329E3" w14:textId="77777777">
      <w:pPr>
        <w:pBdr/>
        <w:spacing/>
        <w:ind w:left="284"/>
        <w:jc w:val="both"/>
        <w:rPr>
          <w:rFonts w:ascii="Arial" w:cs="Arial"/>
          <w:b/>
        </w:rPr>
      </w:pPr>
      <w:r>
        <w:rPr>
          <w:rFonts w:ascii="Arial" w:cs="Arial"/>
          <w:b/>
        </w:rPr>
      </w:r>
      <w:r>
        <w:rPr>
          <w:rFonts w:ascii="Arial" w:cs="Arial"/>
          <w:b/>
        </w:rPr>
      </w:r>
    </w:p>
    <w:p w14:paraId="15FAD1FE" w14:textId="77777777">
      <w:pPr>
        <w:pBdr/>
        <w:spacing/>
        <w:ind/>
        <w:jc w:val="both"/>
        <w:rPr/>
      </w:pPr>
      <w:r>
        <w:rPr>
          <w:rFonts w:ascii="Arial" w:hAnsi="Arial" w:cs="Arial"/>
          <w:b/>
        </w:rPr>
        <w:t xml:space="preserve">23.13. </w:t>
      </w:r>
      <w:r>
        <w:rPr>
          <w:rFonts w:ascii="Arial" w:hAnsi="Arial" w:cs="Arial"/>
        </w:rPr>
        <w:t xml:space="preserve">O recurso e o pedido de reconsideração terão efeito suspensivo do ato ou da decisão recorrida até que sobrevenha decisão final da autoridade competente.</w:t>
      </w:r>
      <w:r/>
    </w:p>
    <w:p w14:paraId="5256BFA9" w14:textId="77777777">
      <w:pPr>
        <w:pBdr/>
        <w:spacing/>
        <w:ind w:left="284"/>
        <w:jc w:val="both"/>
        <w:rPr>
          <w:rFonts w:ascii="Arial" w:cs="Arial"/>
        </w:rPr>
      </w:pPr>
      <w:r>
        <w:rPr>
          <w:rFonts w:ascii="Arial" w:cs="Arial"/>
        </w:rPr>
      </w:r>
      <w:r>
        <w:rPr>
          <w:rFonts w:ascii="Arial" w:cs="Arial"/>
        </w:rPr>
      </w:r>
    </w:p>
    <w:p w14:paraId="65038DAF" w14:textId="77777777">
      <w:pPr>
        <w:pBdr/>
        <w:spacing/>
        <w:ind/>
        <w:jc w:val="both"/>
        <w:rPr/>
      </w:pPr>
      <w:r>
        <w:rPr>
          <w:rFonts w:ascii="Arial" w:hAnsi="Arial" w:cs="Arial"/>
          <w:b/>
        </w:rPr>
        <w:t xml:space="preserve">23.14. </w:t>
      </w:r>
      <w:r>
        <w:rPr>
          <w:rFonts w:ascii="Arial" w:hAnsi="Arial" w:cs="Arial"/>
        </w:rPr>
        <w:t xml:space="preserve">A aplicação das sanções previstas neste edital não exclui, em hipótese alguma, a obrigação de reparação integral dos danos causados.</w:t>
      </w:r>
      <w:r/>
    </w:p>
    <w:p w14:paraId="545F63DD" w14:textId="77777777">
      <w:pPr>
        <w:pBdr/>
        <w:spacing/>
        <w:ind w:left="284"/>
        <w:jc w:val="both"/>
        <w:rPr>
          <w:rFonts w:ascii="Arial" w:cs="Arial"/>
          <w:b/>
        </w:rPr>
      </w:pPr>
      <w:r>
        <w:rPr>
          <w:rFonts w:ascii="Arial" w:cs="Arial"/>
          <w:b/>
        </w:rPr>
      </w:r>
      <w:r>
        <w:rPr>
          <w:rFonts w:ascii="Arial" w:cs="Arial"/>
          <w:b/>
        </w:rPr>
      </w:r>
    </w:p>
    <w:p w14:paraId="6A8707B3" w14:textId="77777777">
      <w:pPr>
        <w:pStyle w:val="873"/>
        <w:pBdr/>
        <w:spacing w:after="0" w:before="0"/>
        <w:ind/>
        <w:rPr>
          <w:lang w:val="pt-BR"/>
        </w:rPr>
      </w:pPr>
      <w:r/>
      <w:bookmarkStart w:id="82" w:name="_Toc190764813"/>
      <w:r/>
      <w:bookmarkStart w:id="83" w:name="_Toc2720"/>
      <w:r>
        <w:rPr>
          <w:sz w:val="20"/>
          <w:lang w:val="pt-BR"/>
        </w:rPr>
        <w:t xml:space="preserve">24. DO PAGAMENTO:</w:t>
      </w:r>
      <w:bookmarkEnd w:id="82"/>
      <w:r/>
      <w:bookmarkEnd w:id="83"/>
      <w:r>
        <w:rPr>
          <w:sz w:val="20"/>
          <w:lang w:val="pt-BR"/>
        </w:rPr>
        <w:t xml:space="preserve"> </w:t>
      </w:r>
      <w:r>
        <w:rPr>
          <w:lang w:val="pt-BR"/>
        </w:rPr>
      </w:r>
    </w:p>
    <w:p w14:paraId="593F45E0" w14:textId="77777777">
      <w:pPr>
        <w:pBdr/>
        <w:spacing/>
        <w:ind/>
        <w:jc w:val="both"/>
        <w:rPr>
          <w:rFonts w:ascii="Arial" w:cs="Arial"/>
        </w:rPr>
      </w:pPr>
      <w:r>
        <w:rPr>
          <w:rFonts w:ascii="Arial" w:cs="Arial"/>
        </w:rPr>
      </w:r>
      <w:r>
        <w:rPr>
          <w:rFonts w:ascii="Arial" w:cs="Arial"/>
        </w:rPr>
      </w:r>
    </w:p>
    <w:p w14:paraId="6B689922" w14:textId="77777777">
      <w:pPr>
        <w:pBdr/>
        <w:spacing/>
        <w:ind/>
        <w:jc w:val="both"/>
        <w:rPr/>
      </w:pPr>
      <w:r>
        <w:rPr>
          <w:rFonts w:ascii="Arial" w:hAnsi="Arial" w:cs="Arial"/>
          <w:b/>
        </w:rPr>
        <w:t xml:space="preserve">24.1. </w:t>
      </w:r>
      <w:r>
        <w:rPr>
          <w:rFonts w:ascii="Arial" w:hAnsi="Arial" w:cs="Arial"/>
        </w:rPr>
        <w:t xml:space="preserve">Pelo fiel e perfeito fornecimento do objeto des</w:t>
      </w:r>
      <w:r>
        <w:rPr>
          <w:rFonts w:ascii="Arial" w:hAnsi="Arial" w:cs="Arial"/>
        </w:rPr>
        <w:t xml:space="preserve">ta licitação, o município de Rondonópolis-MT, pagará o valor total, em Reais (R$), à Contratada, mediante a entrega da Nota Fiscal, devidamente atestada pela Secretaria solicitante, que corresponderá ao valor do objeto licitado entregue, após verificação; </w:t>
      </w:r>
      <w:r/>
    </w:p>
    <w:p w14:paraId="26C7A9BC" w14:textId="77777777">
      <w:pPr>
        <w:pBdr/>
        <w:spacing/>
        <w:ind w:left="284"/>
        <w:jc w:val="both"/>
        <w:rPr>
          <w:rFonts w:ascii="Arial" w:cs="Arial"/>
        </w:rPr>
      </w:pPr>
      <w:r>
        <w:rPr>
          <w:rFonts w:ascii="Arial" w:cs="Arial"/>
        </w:rPr>
      </w:r>
      <w:r>
        <w:rPr>
          <w:rFonts w:ascii="Arial" w:cs="Arial"/>
        </w:rPr>
      </w:r>
    </w:p>
    <w:p w14:paraId="54C758DA" w14:textId="77777777">
      <w:pPr>
        <w:pBdr/>
        <w:spacing/>
        <w:ind/>
        <w:jc w:val="both"/>
        <w:rPr/>
      </w:pPr>
      <w:r>
        <w:rPr>
          <w:rFonts w:ascii="Arial" w:hAnsi="Arial" w:cs="Arial"/>
          <w:b/>
        </w:rPr>
        <w:t xml:space="preserve">24.2.</w:t>
      </w:r>
      <w:r>
        <w:rPr>
          <w:rFonts w:ascii="Arial" w:hAnsi="Arial" w:cs="Arial"/>
        </w:rPr>
        <w:t xml:space="preserve"> No preço a ser pago deverão estar inc</w:t>
      </w:r>
      <w:r>
        <w:rPr>
          <w:rFonts w:ascii="Arial" w:hAnsi="Arial" w:cs="Arial"/>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p>
    <w:p w14:paraId="7EA88EF0" w14:textId="77777777">
      <w:pPr>
        <w:pBdr/>
        <w:spacing/>
        <w:ind w:left="284"/>
        <w:jc w:val="both"/>
        <w:rPr>
          <w:rFonts w:ascii="Arial" w:cs="Arial"/>
          <w:b/>
        </w:rPr>
      </w:pPr>
      <w:r>
        <w:rPr>
          <w:rFonts w:ascii="Arial" w:cs="Arial"/>
          <w:b/>
        </w:rPr>
      </w:r>
      <w:r>
        <w:rPr>
          <w:rFonts w:ascii="Arial" w:cs="Arial"/>
          <w:b/>
        </w:rPr>
      </w:r>
    </w:p>
    <w:p w14:paraId="23809509" w14:textId="77777777">
      <w:pPr>
        <w:pBdr/>
        <w:spacing/>
        <w:ind/>
        <w:jc w:val="both"/>
        <w:rPr/>
      </w:pPr>
      <w:r>
        <w:rPr>
          <w:rFonts w:ascii="Arial" w:hAnsi="Arial" w:cs="Arial"/>
          <w:b/>
          <w:sz w:val="19"/>
          <w:szCs w:val="19"/>
        </w:rPr>
        <w:t xml:space="preserve">24.3.</w:t>
      </w:r>
      <w:r>
        <w:rPr>
          <w:rFonts w:ascii="Arial" w:hAnsi="Arial" w:cs="Arial"/>
          <w:sz w:val="19"/>
          <w:szCs w:val="19"/>
        </w:rPr>
        <w:t xml:space="preserve"> O pagamento será realizado conforme contrato, devendo ainda atender aos termos do art. 60 da Lei federal n.º 4.320, de 17/03/1964, em até 30 (trinta) dias após entrega e atesto de recebimento definitivo do objeto licitado, mediante apresentação da N</w:t>
      </w:r>
      <w:r>
        <w:rPr>
          <w:rFonts w:ascii="Arial" w:hAnsi="Arial" w:cs="Arial"/>
          <w:sz w:val="19"/>
          <w:szCs w:val="19"/>
        </w:rPr>
        <w:t xml:space="preserve">ota Fiscal, atestada pelo servidor responsável da CONTRATANTE , devidamente acompanhada dos documentos estabelecidos na Legislação Vigente ou o que venha a substituí-los, através de boleto ou transferência bancaria em conta jurídica da empresa contratada. </w:t>
      </w:r>
      <w:r/>
    </w:p>
    <w:p w14:paraId="16E239E3" w14:textId="77777777">
      <w:pPr>
        <w:pBdr/>
        <w:spacing/>
        <w:ind w:left="284"/>
        <w:jc w:val="both"/>
        <w:rPr>
          <w:rFonts w:ascii="Arial" w:cs="Arial"/>
        </w:rPr>
      </w:pPr>
      <w:r>
        <w:rPr>
          <w:rFonts w:ascii="Arial" w:cs="Arial"/>
        </w:rPr>
      </w:r>
      <w:r>
        <w:rPr>
          <w:rFonts w:ascii="Arial" w:cs="Arial"/>
        </w:rPr>
      </w:r>
    </w:p>
    <w:p w14:paraId="7FD3751B" w14:textId="77777777">
      <w:pPr>
        <w:pBdr/>
        <w:spacing/>
        <w:ind/>
        <w:jc w:val="both"/>
        <w:rPr/>
      </w:pPr>
      <w:r>
        <w:rPr>
          <w:rFonts w:ascii="Arial" w:hAnsi="Arial" w:cs="Arial"/>
          <w:b/>
        </w:rPr>
        <w:t xml:space="preserve">24.4.</w:t>
      </w:r>
      <w:r>
        <w:rPr>
          <w:rFonts w:ascii="Arial" w:hAnsi="Arial" w:cs="Arial"/>
        </w:rPr>
        <w:t xml:space="preserve"> A nota fiscal deverá conter atestados firmados pelo servidor encarregado de fiscalizar o recebimento, comprovando a entrega do objeto contratado; </w:t>
      </w:r>
      <w:r/>
    </w:p>
    <w:p w14:paraId="6E407D20" w14:textId="77777777">
      <w:pPr>
        <w:pBdr/>
        <w:spacing/>
        <w:ind w:left="284"/>
        <w:jc w:val="both"/>
        <w:rPr>
          <w:rFonts w:ascii="Arial" w:cs="Arial"/>
        </w:rPr>
      </w:pPr>
      <w:r>
        <w:rPr>
          <w:rFonts w:ascii="Arial" w:cs="Arial"/>
        </w:rPr>
      </w:r>
      <w:r>
        <w:rPr>
          <w:rFonts w:ascii="Arial" w:cs="Arial"/>
        </w:rPr>
      </w:r>
    </w:p>
    <w:p w14:paraId="3B0D1941" w14:textId="77777777">
      <w:pPr>
        <w:pBdr/>
        <w:spacing/>
        <w:ind/>
        <w:jc w:val="both"/>
        <w:rPr/>
      </w:pPr>
      <w:r>
        <w:rPr>
          <w:rFonts w:ascii="Arial" w:hAnsi="Arial" w:cs="Arial"/>
          <w:b/>
        </w:rPr>
        <w:t xml:space="preserve">24.5.</w:t>
      </w:r>
      <w:r>
        <w:rPr>
          <w:rFonts w:ascii="Arial" w:hAnsi="Arial" w:cs="Arial"/>
        </w:rPr>
        <w:t xml:space="preserve"> A contratada deverá indicar no corpo da nota fiscal, n. do contrato, mês de referência, descrição dos produtos/serviços, o número e nome do banco, agência e número da conta, na qual deverá ser feito o pagamento, via ordem bancária; </w:t>
      </w:r>
      <w:r/>
    </w:p>
    <w:p w14:paraId="008EAA5C" w14:textId="77777777">
      <w:pPr>
        <w:pBdr/>
        <w:spacing/>
        <w:ind w:left="284"/>
        <w:jc w:val="both"/>
        <w:rPr>
          <w:rFonts w:ascii="Arial" w:cs="Arial"/>
          <w:b/>
        </w:rPr>
      </w:pPr>
      <w:r>
        <w:rPr>
          <w:rFonts w:ascii="Arial" w:cs="Arial"/>
          <w:b/>
        </w:rPr>
      </w:r>
      <w:r>
        <w:rPr>
          <w:rFonts w:ascii="Arial" w:cs="Arial"/>
          <w:b/>
        </w:rPr>
      </w:r>
    </w:p>
    <w:p w14:paraId="7C2A336E" w14:textId="77777777">
      <w:pPr>
        <w:pBdr/>
        <w:spacing/>
        <w:ind/>
        <w:jc w:val="both"/>
        <w:rPr/>
      </w:pPr>
      <w:r>
        <w:rPr>
          <w:rFonts w:ascii="Arial" w:hAnsi="Arial" w:cs="Arial"/>
          <w:b/>
        </w:rPr>
        <w:t xml:space="preserve">24.6.</w:t>
      </w:r>
      <w:r>
        <w:rPr>
          <w:rFonts w:ascii="Arial" w:hAnsi="Arial" w:cs="Arial"/>
        </w:rPr>
        <w:t xml:space="preserve"> O Município de Rondonópolis efetuará o pagamento por meio de ordem bancária, tomada junto ao Banco ou Cooperativa, endereçada ao banco discriminado na nota fiscal; </w:t>
      </w:r>
      <w:r/>
    </w:p>
    <w:p w14:paraId="7A040303" w14:textId="77777777">
      <w:pPr>
        <w:pBdr/>
        <w:spacing/>
        <w:ind w:left="284"/>
        <w:jc w:val="both"/>
        <w:rPr>
          <w:rFonts w:ascii="Arial" w:cs="Arial"/>
        </w:rPr>
      </w:pPr>
      <w:r>
        <w:rPr>
          <w:rFonts w:ascii="Arial" w:cs="Arial"/>
        </w:rPr>
      </w:r>
      <w:r>
        <w:rPr>
          <w:rFonts w:ascii="Arial" w:cs="Arial"/>
        </w:rPr>
      </w:r>
    </w:p>
    <w:p w14:paraId="06F47FCE" w14:textId="77777777">
      <w:pPr>
        <w:pBdr/>
        <w:spacing/>
        <w:ind/>
        <w:jc w:val="both"/>
        <w:rPr/>
      </w:pPr>
      <w:r>
        <w:rPr>
          <w:rFonts w:ascii="Arial" w:hAnsi="Arial" w:cs="Arial"/>
          <w:b/>
        </w:rPr>
        <w:t xml:space="preserve">24.7.</w:t>
      </w:r>
      <w:r>
        <w:rPr>
          <w:rFonts w:ascii="Arial" w:hAnsi="Arial" w:cs="Arial"/>
        </w:rPr>
        <w:t xml:space="preserve"> Constando qualquer incorreção na nota fiscal, bem como, outra circunstância que desaconselhe o seu pagamento, o prazo para pagamento constante no item 24.3. Fluirá a partir da respectiva regularização; </w:t>
      </w:r>
      <w:r/>
    </w:p>
    <w:p w14:paraId="6CD7C319" w14:textId="77777777">
      <w:pPr>
        <w:pBdr/>
        <w:spacing/>
        <w:ind w:left="284"/>
        <w:jc w:val="both"/>
        <w:rPr>
          <w:rFonts w:ascii="Arial" w:cs="Arial"/>
          <w:b/>
        </w:rPr>
      </w:pPr>
      <w:r>
        <w:rPr>
          <w:rFonts w:ascii="Arial" w:cs="Arial"/>
          <w:b/>
        </w:rPr>
      </w:r>
      <w:r>
        <w:rPr>
          <w:rFonts w:ascii="Arial" w:cs="Arial"/>
          <w:b/>
        </w:rPr>
      </w:r>
    </w:p>
    <w:p w14:paraId="2C6477F1" w14:textId="77777777">
      <w:pPr>
        <w:pBdr/>
        <w:spacing/>
        <w:ind/>
        <w:jc w:val="both"/>
        <w:rPr/>
      </w:pPr>
      <w:r>
        <w:rPr>
          <w:rFonts w:ascii="Arial" w:hAnsi="Arial" w:cs="Arial"/>
          <w:b/>
        </w:rPr>
        <w:t xml:space="preserve">24.8.</w:t>
      </w:r>
      <w:r>
        <w:rPr>
          <w:rFonts w:ascii="Arial" w:hAnsi="Arial" w:cs="Arial"/>
        </w:rPr>
        <w:t xml:space="preserve"> As despesas bancárias decorrentes de transferências de valores para outras praças serão de responsabilidade da contratada; </w:t>
      </w:r>
      <w:r/>
    </w:p>
    <w:p w14:paraId="255A14B8" w14:textId="77777777">
      <w:pPr>
        <w:pBdr/>
        <w:spacing/>
        <w:ind w:left="284"/>
        <w:jc w:val="both"/>
        <w:rPr>
          <w:rFonts w:ascii="Arial" w:cs="Arial"/>
          <w:b/>
        </w:rPr>
      </w:pPr>
      <w:r>
        <w:rPr>
          <w:rFonts w:ascii="Arial" w:cs="Arial"/>
          <w:b/>
        </w:rPr>
      </w:r>
      <w:r>
        <w:rPr>
          <w:rFonts w:ascii="Arial" w:cs="Arial"/>
          <w:b/>
        </w:rPr>
      </w:r>
    </w:p>
    <w:p w14:paraId="0BD9AB37" w14:textId="77777777">
      <w:pPr>
        <w:pBdr/>
        <w:spacing/>
        <w:ind/>
        <w:jc w:val="both"/>
        <w:rPr/>
      </w:pPr>
      <w:r>
        <w:rPr>
          <w:rFonts w:ascii="Arial" w:hAnsi="Arial" w:cs="Arial"/>
          <w:b/>
        </w:rPr>
        <w:t xml:space="preserve">24.9.</w:t>
      </w:r>
      <w:r>
        <w:rPr>
          <w:rFonts w:ascii="Arial" w:hAnsi="Arial" w:cs="Arial"/>
        </w:rPr>
        <w:t xml:space="preserve"> O pagamento efetuado não isentará a contratada de suas responsabilidades vinculadas ao fornecimento, especialmente àquelas relacionadas com a qualidade e garantia/serviços dos bens fornecidos; </w:t>
      </w:r>
      <w:r/>
    </w:p>
    <w:p w14:paraId="388A24B0" w14:textId="77777777">
      <w:pPr>
        <w:pBdr/>
        <w:spacing/>
        <w:ind w:left="284"/>
        <w:jc w:val="both"/>
        <w:rPr>
          <w:rFonts w:ascii="Arial" w:cs="Arial"/>
        </w:rPr>
      </w:pPr>
      <w:r>
        <w:rPr>
          <w:rFonts w:ascii="Arial" w:cs="Arial"/>
        </w:rPr>
      </w:r>
      <w:r>
        <w:rPr>
          <w:rFonts w:ascii="Arial" w:cs="Arial"/>
        </w:rPr>
      </w:r>
    </w:p>
    <w:p w14:paraId="26AE4742" w14:textId="77777777">
      <w:pPr>
        <w:pBdr/>
        <w:spacing/>
        <w:ind/>
        <w:jc w:val="both"/>
        <w:rPr/>
      </w:pPr>
      <w:r>
        <w:rPr>
          <w:rFonts w:ascii="Arial" w:hAnsi="Arial" w:cs="Arial"/>
          <w:b/>
        </w:rPr>
        <w:t xml:space="preserve">24.10.</w:t>
      </w:r>
      <w:r>
        <w:rPr>
          <w:rFonts w:ascii="Arial" w:hAnsi="Arial" w:cs="Arial"/>
        </w:rPr>
        <w:t xml:space="preserve"> O pagamento a ser efetuado ficará condicionado à apresentação pela empresa dos comprobatórios de quitação das obrigações para com o INSS e FGTS, referente ao mês anterior. </w:t>
      </w:r>
      <w:r/>
    </w:p>
    <w:p w14:paraId="06F08838" w14:textId="77777777">
      <w:pPr>
        <w:pBdr/>
        <w:spacing/>
        <w:ind w:left="284"/>
        <w:jc w:val="both"/>
        <w:rPr>
          <w:rFonts w:ascii="Arial" w:cs="Arial"/>
        </w:rPr>
      </w:pPr>
      <w:r>
        <w:rPr>
          <w:rFonts w:ascii="Arial" w:cs="Arial"/>
        </w:rPr>
      </w:r>
      <w:r>
        <w:rPr>
          <w:rFonts w:ascii="Arial" w:cs="Arial"/>
        </w:rPr>
      </w:r>
    </w:p>
    <w:p w14:paraId="54A68CA2" w14:textId="77777777">
      <w:pPr>
        <w:pBdr/>
        <w:spacing/>
        <w:ind/>
        <w:jc w:val="both"/>
        <w:rPr/>
      </w:pPr>
      <w:r>
        <w:rPr>
          <w:rFonts w:ascii="Arial" w:hAnsi="Arial" w:cs="Arial"/>
          <w:b/>
        </w:rPr>
        <w:t xml:space="preserve">24.11. </w:t>
      </w:r>
      <w:r>
        <w:rPr>
          <w:rFonts w:ascii="Arial" w:hAnsi="Arial" w:cs="Arial"/>
        </w:rPr>
        <w:t xml:space="preserve">As Notas Fiscais deverão ser emitidas até o dia 20 de cada mês, conforme disposto no artigo 3º, § 1º da Instrução Normativa n. 03/2008. Nas Notas Fiscais deverão constar o número do processo e da modalidade da licitação, bem como a Secretaria solicitante.</w:t>
      </w:r>
      <w:r/>
    </w:p>
    <w:p w14:paraId="146DF6D9" w14:textId="77777777">
      <w:pPr>
        <w:pBdr/>
        <w:spacing/>
        <w:ind w:left="284"/>
        <w:jc w:val="both"/>
        <w:rPr>
          <w:rFonts w:ascii="Arial" w:cs="Arial"/>
          <w:b/>
          <w:sz w:val="18"/>
          <w:szCs w:val="18"/>
        </w:rPr>
      </w:pPr>
      <w:r>
        <w:rPr>
          <w:rFonts w:ascii="Arial" w:cs="Arial"/>
          <w:b/>
          <w:sz w:val="18"/>
          <w:szCs w:val="18"/>
        </w:rPr>
      </w:r>
      <w:r>
        <w:rPr>
          <w:rFonts w:ascii="Arial" w:cs="Arial"/>
          <w:b/>
          <w:sz w:val="18"/>
          <w:szCs w:val="18"/>
        </w:rPr>
      </w:r>
    </w:p>
    <w:p w14:paraId="59A3AE0F" w14:textId="77777777">
      <w:pPr>
        <w:pBdr/>
        <w:spacing/>
        <w:ind/>
        <w:jc w:val="both"/>
        <w:rPr/>
      </w:pPr>
      <w:r>
        <w:rPr>
          <w:rFonts w:ascii="Arial" w:hAnsi="Arial" w:cs="Arial"/>
          <w:b/>
          <w:sz w:val="18"/>
          <w:szCs w:val="18"/>
        </w:rPr>
        <w:t xml:space="preserve">24.12. </w:t>
      </w:r>
      <w:r>
        <w:rPr>
          <w:rFonts w:ascii="Arial" w:hAnsi="Arial" w:cs="Arial"/>
          <w:sz w:val="18"/>
          <w:szCs w:val="18"/>
        </w:rPr>
        <w:t xml:space="preserve">O Município de Rondonópolis-MT, só autorizará a realização dos pagamentos, se houver por parte do setor requisitante dos produtos/serviços, o necessário ATESTO dos produtos entregues/serviços executados pela empresa vencedora, no verso da Nota Fiscal.</w:t>
      </w:r>
      <w:r/>
    </w:p>
    <w:p w14:paraId="77595D5F" w14:textId="77777777">
      <w:pPr>
        <w:pBdr/>
        <w:spacing/>
        <w:ind/>
        <w:jc w:val="both"/>
        <w:rPr>
          <w:rFonts w:ascii="Arial" w:cs="Arial"/>
          <w:b/>
        </w:rPr>
      </w:pPr>
      <w:r>
        <w:rPr>
          <w:rFonts w:ascii="Arial" w:cs="Arial"/>
          <w:b/>
        </w:rPr>
      </w:r>
      <w:r>
        <w:rPr>
          <w:rFonts w:ascii="Arial" w:cs="Arial"/>
          <w:b/>
        </w:rPr>
      </w:r>
    </w:p>
    <w:p w14:paraId="3A60033E" w14:textId="77777777">
      <w:pPr>
        <w:pBdr/>
        <w:spacing/>
        <w:ind/>
        <w:jc w:val="both"/>
        <w:rPr/>
      </w:pPr>
      <w:r>
        <w:rPr>
          <w:rFonts w:ascii="Arial" w:hAnsi="Arial" w:cs="Arial"/>
          <w:b/>
        </w:rPr>
        <w:t xml:space="preserve">24.13. </w:t>
      </w:r>
      <w:r>
        <w:rPr>
          <w:rFonts w:ascii="Arial" w:hAnsi="Arial" w:cs="Arial"/>
        </w:rPr>
        <w:t xml:space="preserve">Quando do pagamento, será efetuada a retenção tributária prevista na legislação aplicável.</w:t>
      </w:r>
      <w:r/>
    </w:p>
    <w:p w14:paraId="10693393" w14:textId="77777777">
      <w:pPr>
        <w:pBdr/>
        <w:spacing/>
        <w:ind w:left="284"/>
        <w:jc w:val="both"/>
        <w:rPr>
          <w:rFonts w:ascii="Arial" w:cs="Arial"/>
        </w:rPr>
      </w:pPr>
      <w:r>
        <w:rPr>
          <w:rFonts w:ascii="Arial" w:cs="Arial"/>
        </w:rPr>
      </w:r>
      <w:r>
        <w:rPr>
          <w:rFonts w:ascii="Arial" w:cs="Arial"/>
        </w:rPr>
      </w:r>
    </w:p>
    <w:p w14:paraId="2EEC3DE9" w14:textId="77777777">
      <w:pPr>
        <w:pStyle w:val="873"/>
        <w:pBdr/>
        <w:spacing w:after="0" w:before="0"/>
        <w:ind/>
        <w:rPr>
          <w:lang w:val="pt-BR"/>
        </w:rPr>
      </w:pPr>
      <w:r/>
      <w:bookmarkStart w:id="84" w:name="_Toc135469235_Copia_1"/>
      <w:r/>
      <w:bookmarkStart w:id="85" w:name="_Toc12419"/>
      <w:r/>
      <w:bookmarkEnd w:id="84"/>
      <w:r>
        <w:rPr>
          <w:sz w:val="20"/>
          <w:lang w:val="pt-BR"/>
        </w:rPr>
        <w:t xml:space="preserve">25. </w:t>
      </w:r>
      <w:bookmarkStart w:id="86" w:name="_Toc135469235"/>
      <w:r>
        <w:rPr>
          <w:sz w:val="20"/>
          <w:lang w:val="pt-BR"/>
        </w:rPr>
        <w:t xml:space="preserve">DA IMPUGNAÇÃO AO EDITAL E DO PEDIDO DE ESCLARECIMENTO</w:t>
      </w:r>
      <w:bookmarkEnd w:id="86"/>
      <w:r>
        <w:rPr>
          <w:sz w:val="20"/>
          <w:lang w:val="pt-BR"/>
        </w:rPr>
        <w:t xml:space="preserve">:</w:t>
      </w:r>
      <w:bookmarkEnd w:id="85"/>
      <w:r/>
      <w:r>
        <w:rPr>
          <w:lang w:val="pt-BR"/>
        </w:rPr>
      </w:r>
    </w:p>
    <w:p w14:paraId="380FCD44" w14:textId="77777777">
      <w:pPr>
        <w:pBdr/>
        <w:spacing/>
        <w:ind/>
        <w:jc w:val="both"/>
        <w:rPr>
          <w:rFonts w:ascii="Arial" w:cs="Arial"/>
          <w:b/>
          <w:color w:val="000000"/>
        </w:rPr>
      </w:pPr>
      <w:r>
        <w:rPr>
          <w:rFonts w:ascii="Arial" w:cs="Arial"/>
          <w:b/>
          <w:color w:val="000000"/>
        </w:rPr>
      </w:r>
      <w:r>
        <w:rPr>
          <w:rFonts w:ascii="Arial" w:cs="Arial"/>
          <w:b/>
          <w:color w:val="000000"/>
        </w:rPr>
      </w:r>
    </w:p>
    <w:p w14:paraId="51427754" w14:textId="77777777">
      <w:pPr>
        <w:pBdr/>
        <w:spacing/>
        <w:ind/>
        <w:jc w:val="both"/>
        <w:rPr/>
      </w:pPr>
      <w:r>
        <w:rPr>
          <w:rFonts w:ascii="Arial" w:hAnsi="Arial" w:cs="Arial"/>
          <w:b/>
          <w:color w:val="000000"/>
        </w:rPr>
        <w:t xml:space="preserve">25.1.</w:t>
      </w:r>
      <w:r>
        <w:rPr>
          <w:rFonts w:ascii="Arial" w:hAnsi="Arial" w:cs="Arial"/>
          <w:color w:val="000000"/>
        </w:rPr>
        <w:t xml:space="preserve"> </w:t>
      </w:r>
      <w:r>
        <w:rPr>
          <w:rFonts w:ascii="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hAnsi="Arial" w:cs="Arial"/>
          <w:color w:val="000000"/>
        </w:rPr>
        <w:t xml:space="preserve">exclusivamente na plataforma eletrônica </w:t>
      </w:r>
      <w:hyperlink r:id="rId43" w:tooltip="mailto:bllcompras.com" w:history="1">
        <w:r>
          <w:rPr>
            <w:rFonts w:ascii="Arial" w:hAnsi="Arial" w:cs="Arial"/>
            <w:b/>
            <w:color w:val="000000"/>
          </w:rPr>
          <w:t xml:space="preserve">bllcompras.com</w:t>
        </w:r>
      </w:hyperlink>
      <w:r>
        <w:rPr>
          <w:rFonts w:ascii="Arial" w:hAnsi="Arial" w:cs="Arial"/>
          <w:b/>
          <w:color w:val="000000"/>
        </w:rPr>
        <w:t xml:space="preserve"> </w:t>
      </w:r>
      <w:r>
        <w:rPr>
          <w:rFonts w:ascii="Arial" w:hAnsi="Arial" w:cs="Arial"/>
        </w:rPr>
        <w:t xml:space="preserve">até 3 (três) dias úteis antes da data de abertura do certame. (Art. 164 da Lei 14.133, de 2021).</w:t>
      </w:r>
      <w:r/>
    </w:p>
    <w:p w14:paraId="7DE8B23F" w14:textId="77777777">
      <w:pPr>
        <w:pBdr/>
        <w:spacing/>
        <w:ind/>
        <w:jc w:val="both"/>
        <w:rPr>
          <w:rFonts w:ascii="Arial" w:cs="Arial"/>
        </w:rPr>
      </w:pPr>
      <w:r>
        <w:rPr>
          <w:rFonts w:ascii="Arial" w:cs="Arial"/>
        </w:rPr>
      </w:r>
      <w:r>
        <w:rPr>
          <w:rFonts w:ascii="Arial" w:cs="Arial"/>
        </w:rPr>
      </w:r>
    </w:p>
    <w:p w14:paraId="630B07D5" w14:textId="77777777">
      <w:pPr>
        <w:pBdr/>
        <w:spacing/>
        <w:ind/>
        <w:jc w:val="both"/>
        <w:rPr/>
      </w:pPr>
      <w:r>
        <w:rPr>
          <w:rFonts w:ascii="Arial" w:hAnsi="Arial" w:cs="Arial"/>
          <w:b/>
          <w:color w:val="000000"/>
        </w:rPr>
        <w:t xml:space="preserve">25.2.</w:t>
      </w:r>
      <w:r>
        <w:rPr>
          <w:rFonts w:ascii="Arial" w:hAnsi="Arial" w:cs="Arial"/>
          <w:color w:val="000000"/>
        </w:rPr>
        <w:t xml:space="preserve"> A resposta à impugnação ou ao pedido de esclarecimento será divulgado no </w:t>
      </w:r>
      <w:r>
        <w:rPr>
          <w:rFonts w:ascii="Arial" w:hAnsi="Arial" w:cs="Arial"/>
          <w:b/>
          <w:color w:val="000000"/>
        </w:rPr>
        <w:t xml:space="preserve">site bllcompras.com</w:t>
      </w:r>
      <w:r>
        <w:rPr>
          <w:rFonts w:ascii="Arial" w:hAnsi="Arial" w:cs="Arial"/>
          <w:color w:val="000000"/>
        </w:rPr>
        <w:t xml:space="preserve">, no campo “</w:t>
      </w:r>
      <w:r>
        <w:rPr>
          <w:rFonts w:ascii="Arial" w:hAnsi="Arial" w:cs="Arial"/>
          <w:b/>
          <w:color w:val="000000"/>
        </w:rPr>
        <w:t xml:space="preserve">DOCUMENTOS</w:t>
      </w:r>
      <w:r>
        <w:rPr>
          <w:rFonts w:ascii="Arial" w:hAnsi="Arial" w:cs="Arial"/>
          <w:color w:val="000000"/>
        </w:rPr>
        <w:t xml:space="preserve">”, no link correspondente a este Edital, no prazo de até 3 (três) dias úteis, limitado ao último dia útil anterior à data da abertura do certame.</w:t>
      </w:r>
      <w:r/>
    </w:p>
    <w:p w14:paraId="3938546A" w14:textId="77777777">
      <w:pPr>
        <w:pBdr/>
        <w:spacing/>
        <w:ind/>
        <w:jc w:val="both"/>
        <w:rPr>
          <w:rFonts w:ascii="Arial" w:cs="Arial"/>
          <w:color w:val="000000"/>
        </w:rPr>
      </w:pPr>
      <w:r>
        <w:rPr>
          <w:rFonts w:ascii="Arial" w:cs="Arial"/>
          <w:color w:val="000000"/>
        </w:rPr>
      </w:r>
      <w:r>
        <w:rPr>
          <w:rFonts w:ascii="Arial" w:cs="Arial"/>
          <w:color w:val="000000"/>
        </w:rPr>
      </w:r>
    </w:p>
    <w:p w14:paraId="410B3EC6" w14:textId="77777777">
      <w:pPr>
        <w:pBdr/>
        <w:spacing/>
        <w:ind/>
        <w:jc w:val="both"/>
        <w:rPr/>
      </w:pPr>
      <w:r>
        <w:rPr>
          <w:rFonts w:ascii="Arial" w:hAnsi="Arial" w:cs="Arial"/>
          <w:b/>
        </w:rPr>
        <w:t xml:space="preserve">25.3.</w:t>
      </w:r>
      <w:r>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r/>
    </w:p>
    <w:p w14:paraId="67740AB8" w14:textId="77777777">
      <w:pPr>
        <w:pBdr/>
        <w:spacing/>
        <w:ind w:left="284"/>
        <w:jc w:val="both"/>
        <w:rPr>
          <w:rFonts w:ascii="Arial" w:cs="Arial"/>
          <w:b/>
        </w:rPr>
      </w:pPr>
      <w:r>
        <w:rPr>
          <w:rFonts w:ascii="Arial" w:cs="Arial"/>
          <w:b/>
        </w:rPr>
      </w:r>
      <w:r>
        <w:rPr>
          <w:rFonts w:ascii="Arial" w:cs="Arial"/>
          <w:b/>
        </w:rPr>
      </w:r>
    </w:p>
    <w:p w14:paraId="69CC180C" w14:textId="77777777">
      <w:pPr>
        <w:pBdr/>
        <w:spacing/>
        <w:ind w:left="284"/>
        <w:jc w:val="both"/>
        <w:rPr/>
      </w:pPr>
      <w:r>
        <w:rPr>
          <w:rFonts w:ascii="Arial" w:hAnsi="Arial" w:cs="Arial"/>
          <w:b/>
        </w:rPr>
        <w:t xml:space="preserve">25.3.1.</w:t>
      </w:r>
      <w:r>
        <w:rPr>
          <w:rFonts w:ascii="Arial" w:hAnsi="Arial" w:cs="Arial"/>
        </w:rPr>
        <w:t xml:space="preserve"> A contagem dos prazos para impugnar ou solicitar esclarecimento ao edital se dará da seguinte forma: o referido prazo será contado de trás para a frente, </w:t>
      </w:r>
      <w:r>
        <w:rPr>
          <w:rFonts w:ascii="Arial" w:hAnsi="Arial" w:cs="Arial"/>
          <w:u w:val="single"/>
        </w:rPr>
        <w:t xml:space="preserve">o dia do início será o da sessão pública</w:t>
      </w:r>
      <w:r>
        <w:rPr>
          <w:rFonts w:ascii="Arial" w:hAnsi="Arial" w:cs="Arial"/>
        </w:rPr>
        <w:t xml:space="preserve">, portanto, </w:t>
      </w:r>
      <w:r>
        <w:rPr>
          <w:rFonts w:ascii="Arial" w:hAnsi="Arial" w:cs="Arial"/>
          <w:u w:val="single"/>
        </w:rPr>
        <w:t xml:space="preserve">exclui-se da contagem</w:t>
      </w:r>
      <w:r>
        <w:rPr>
          <w:rFonts w:ascii="Arial" w:hAnsi="Arial" w:cs="Arial"/>
        </w:rPr>
        <w:t xml:space="preserve">, e </w:t>
      </w:r>
      <w:r>
        <w:rPr>
          <w:rFonts w:ascii="Arial" w:hAnsi="Arial" w:cs="Arial"/>
          <w:u w:val="single"/>
        </w:rPr>
        <w:t xml:space="preserve">inclui-se o dia do vencimento</w:t>
      </w:r>
      <w:r>
        <w:rPr>
          <w:rFonts w:ascii="Arial" w:hAnsi="Arial" w:cs="Arial"/>
        </w:rPr>
        <w:t xml:space="preserve">. Exemplo: em uma licitação marca para </w:t>
      </w:r>
      <w:r>
        <w:rPr>
          <w:rFonts w:ascii="Arial" w:hAnsi="Arial" w:cs="Arial"/>
          <w:u w:val="single"/>
        </w:rPr>
        <w:t xml:space="preserve">sexta feira</w:t>
      </w:r>
      <w:r>
        <w:rPr>
          <w:rFonts w:ascii="Arial" w:hAnsi="Arial" w:cs="Arial"/>
        </w:rPr>
        <w:t xml:space="preserve"> o dia do vencimento será na </w:t>
      </w:r>
      <w:r>
        <w:rPr>
          <w:rFonts w:ascii="Arial" w:hAnsi="Arial" w:cs="Arial"/>
          <w:u w:val="single"/>
        </w:rPr>
        <w:t xml:space="preserve">terça feira</w:t>
      </w:r>
      <w:r>
        <w:rPr>
          <w:rFonts w:ascii="Arial" w:hAnsi="Arial" w:cs="Arial"/>
        </w:rPr>
        <w:t xml:space="preserve">, considerando uma semana de expediente na Administração.</w:t>
      </w:r>
      <w:r/>
    </w:p>
    <w:p w14:paraId="55C37114" w14:textId="77777777">
      <w:pPr>
        <w:pBdr/>
        <w:spacing/>
        <w:ind w:left="284"/>
        <w:jc w:val="both"/>
        <w:rPr>
          <w:rFonts w:ascii="Arial" w:cs="Arial"/>
        </w:rPr>
      </w:pPr>
      <w:r>
        <w:rPr>
          <w:rFonts w:ascii="Arial" w:cs="Arial"/>
        </w:rPr>
      </w:r>
      <w:r>
        <w:rPr>
          <w:rFonts w:ascii="Arial" w:cs="Arial"/>
        </w:rPr>
      </w:r>
    </w:p>
    <w:p w14:paraId="45D5FB9C" w14:textId="77777777">
      <w:pPr>
        <w:pBdr/>
        <w:spacing/>
        <w:ind w:left="284"/>
        <w:jc w:val="both"/>
        <w:rPr/>
      </w:pPr>
      <w:r>
        <w:rPr>
          <w:rFonts w:ascii="Arial" w:hAnsi="Arial" w:cs="Arial"/>
          <w:b/>
        </w:rPr>
        <w:t xml:space="preserve">25.3.2. </w:t>
      </w:r>
      <w:r>
        <w:rPr>
          <w:rFonts w:ascii="Arial" w:hAnsi="Arial" w:cs="Arial"/>
        </w:rPr>
        <w:t xml:space="preserve">Os pedidos de impugnações e esclarecimentos solicitados fora do prazo estabelecido neste edital não serão reconhecidos.</w:t>
      </w:r>
      <w:r/>
    </w:p>
    <w:p w14:paraId="3D22665D" w14:textId="77777777">
      <w:pPr>
        <w:pBdr/>
        <w:spacing/>
        <w:ind/>
        <w:jc w:val="both"/>
        <w:rPr>
          <w:rFonts w:ascii="Arial" w:cs="Arial"/>
          <w:color w:val="000000"/>
        </w:rPr>
      </w:pPr>
      <w:r>
        <w:rPr>
          <w:rFonts w:ascii="Arial" w:cs="Arial"/>
          <w:color w:val="000000"/>
        </w:rPr>
      </w:r>
      <w:r>
        <w:rPr>
          <w:rFonts w:ascii="Arial" w:cs="Arial"/>
          <w:color w:val="000000"/>
        </w:rPr>
      </w:r>
    </w:p>
    <w:p w14:paraId="6BBDDDB1" w14:textId="77777777">
      <w:pPr>
        <w:pBdr/>
        <w:spacing/>
        <w:ind/>
        <w:jc w:val="both"/>
        <w:rPr/>
      </w:pPr>
      <w:r>
        <w:rPr>
          <w:rFonts w:ascii="Arial" w:hAnsi="Arial" w:cs="Arial"/>
          <w:b/>
          <w:color w:val="000000"/>
        </w:rPr>
        <w:t xml:space="preserve">25.4.</w:t>
      </w:r>
      <w:r>
        <w:rPr>
          <w:rFonts w:ascii="Arial" w:hAnsi="Arial" w:cs="Arial"/>
          <w:color w:val="000000"/>
        </w:rPr>
        <w:t xml:space="preserve">  </w:t>
      </w:r>
      <w:r>
        <w:rPr>
          <w:rFonts w:ascii="Arial" w:hAnsi="Arial" w:cs="Arial"/>
        </w:rPr>
        <w:t xml:space="preserve">As impugnações e pedidos de esclarecimentos não suspendem os prazos previstos no certame.</w:t>
      </w:r>
      <w:r/>
    </w:p>
    <w:p w14:paraId="6DEEBC52" w14:textId="77777777">
      <w:pPr>
        <w:pBdr/>
        <w:spacing/>
        <w:ind/>
        <w:jc w:val="both"/>
        <w:rPr>
          <w:rFonts w:ascii="Arial" w:cs="Arial"/>
        </w:rPr>
      </w:pPr>
      <w:r>
        <w:rPr>
          <w:rFonts w:ascii="Arial" w:cs="Arial"/>
        </w:rPr>
      </w:r>
      <w:r>
        <w:rPr>
          <w:rFonts w:ascii="Arial" w:cs="Arial"/>
        </w:rPr>
      </w:r>
    </w:p>
    <w:p w14:paraId="7ABB7AB7" w14:textId="77777777">
      <w:pPr>
        <w:pBdr/>
        <w:spacing/>
        <w:ind/>
        <w:jc w:val="both"/>
        <w:rPr/>
      </w:pPr>
      <w:r>
        <w:rPr>
          <w:rFonts w:ascii="Arial" w:hAnsi="Arial" w:cs="Arial"/>
          <w:b/>
          <w:color w:val="000000"/>
        </w:rPr>
        <w:t xml:space="preserve">25.5.</w:t>
      </w:r>
      <w:r>
        <w:rPr>
          <w:rFonts w:ascii="Arial" w:hAnsi="Arial" w:cs="Arial"/>
          <w:color w:val="000000"/>
        </w:rPr>
        <w:t xml:space="preserve">  </w:t>
      </w:r>
      <w:r>
        <w:rPr>
          <w:rFonts w:ascii="Arial" w:hAnsi="Arial" w:cs="Arial"/>
        </w:rPr>
        <w:t xml:space="preserve">A concessão de efeito suspensivo à impugnação é medida excepcional e deverá ser motivada pelo agente de contratação, nos autos do processo de licitação.</w:t>
      </w:r>
      <w:r/>
    </w:p>
    <w:p w14:paraId="055FB219" w14:textId="77777777">
      <w:pPr>
        <w:pBdr/>
        <w:spacing/>
        <w:ind/>
        <w:jc w:val="both"/>
        <w:rPr>
          <w:rFonts w:ascii="Arial" w:cs="Arial"/>
        </w:rPr>
      </w:pPr>
      <w:r>
        <w:rPr>
          <w:rFonts w:ascii="Arial" w:cs="Arial"/>
        </w:rPr>
      </w:r>
      <w:r>
        <w:rPr>
          <w:rFonts w:ascii="Arial" w:cs="Arial"/>
        </w:rPr>
      </w:r>
    </w:p>
    <w:p w14:paraId="4340270C" w14:textId="77777777">
      <w:pPr>
        <w:pBdr/>
        <w:spacing/>
        <w:ind/>
        <w:jc w:val="both"/>
        <w:rPr/>
      </w:pPr>
      <w:r>
        <w:rPr>
          <w:rFonts w:ascii="Arial" w:hAnsi="Arial" w:cs="Arial"/>
          <w:b/>
          <w:color w:val="000000"/>
        </w:rPr>
        <w:t xml:space="preserve">25.6.</w:t>
      </w:r>
      <w:r>
        <w:rPr>
          <w:rFonts w:ascii="Arial" w:hAnsi="Arial" w:cs="Arial"/>
          <w:color w:val="000000"/>
        </w:rPr>
        <w:t xml:space="preserve">  </w:t>
      </w:r>
      <w:r>
        <w:rPr>
          <w:rFonts w:ascii="Arial" w:hAnsi="Arial" w:cs="Arial"/>
        </w:rPr>
        <w:t xml:space="preserve">Acolhida a impugnação, será definida e publicada nova data para a realização do certame.</w:t>
      </w:r>
      <w:r/>
    </w:p>
    <w:p w14:paraId="0F26D985" w14:textId="77777777">
      <w:pPr>
        <w:pBdr/>
        <w:spacing/>
        <w:ind/>
        <w:jc w:val="both"/>
        <w:rPr>
          <w:rFonts w:ascii="Arial" w:cs="Arial"/>
          <w:b/>
        </w:rPr>
      </w:pPr>
      <w:r>
        <w:rPr>
          <w:rFonts w:ascii="Arial" w:cs="Arial"/>
          <w:b/>
        </w:rPr>
      </w:r>
      <w:r>
        <w:rPr>
          <w:rFonts w:ascii="Arial" w:cs="Arial"/>
          <w:b/>
        </w:rPr>
      </w:r>
    </w:p>
    <w:p w14:paraId="607374D8" w14:textId="77777777">
      <w:pPr>
        <w:pBdr/>
        <w:spacing/>
        <w:ind/>
        <w:jc w:val="both"/>
        <w:rPr/>
      </w:pPr>
      <w:r>
        <w:rPr>
          <w:rFonts w:ascii="Arial" w:hAnsi="Arial" w:cs="Arial"/>
          <w:b/>
        </w:rPr>
        <w:t xml:space="preserve">25.7.</w:t>
      </w:r>
      <w:r>
        <w:rPr>
          <w:rFonts w:ascii="Arial" w:hAnsi="Arial" w:cs="Arial"/>
        </w:rPr>
        <w:t xml:space="preserve"> A impugnação não impede a impugnante de participar do processo licitatório até o trânsito em julgado da decisão a ela pertinente. </w:t>
      </w:r>
      <w:r/>
    </w:p>
    <w:p w14:paraId="48565EC8" w14:textId="77777777">
      <w:pPr>
        <w:pBdr/>
        <w:spacing/>
        <w:ind/>
        <w:jc w:val="both"/>
        <w:rPr>
          <w:rFonts w:ascii="Arial" w:cs="Arial"/>
        </w:rPr>
      </w:pPr>
      <w:r>
        <w:rPr>
          <w:rFonts w:ascii="Arial" w:cs="Arial"/>
        </w:rPr>
      </w:r>
      <w:r>
        <w:rPr>
          <w:rFonts w:ascii="Arial" w:cs="Arial"/>
        </w:rPr>
      </w:r>
    </w:p>
    <w:p w14:paraId="347EF01B" w14:textId="77777777">
      <w:pPr>
        <w:pBdr/>
        <w:spacing/>
        <w:ind/>
        <w:jc w:val="both"/>
        <w:rPr/>
      </w:pPr>
      <w:r>
        <w:rPr>
          <w:rFonts w:ascii="Arial" w:hAnsi="Arial" w:cs="Arial"/>
          <w:b/>
        </w:rPr>
        <w:t xml:space="preserve">25.8.</w:t>
      </w:r>
      <w:r>
        <w:rPr>
          <w:rFonts w:ascii="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hAnsi="Arial" w:cs="Arial"/>
          <w:color w:val="000000"/>
        </w:rPr>
        <w:t xml:space="preserve">aplicar a pena em conformidade com a legislação vigente.</w:t>
      </w:r>
      <w:r/>
    </w:p>
    <w:p w14:paraId="04CE004C" w14:textId="77777777">
      <w:pPr>
        <w:pBdr/>
        <w:spacing/>
        <w:ind/>
        <w:jc w:val="both"/>
        <w:rPr>
          <w:rFonts w:ascii="Arial" w:cs="Arial"/>
          <w:color w:val="000000"/>
        </w:rPr>
      </w:pPr>
      <w:r>
        <w:rPr>
          <w:rFonts w:ascii="Arial" w:cs="Arial"/>
          <w:color w:val="000000"/>
        </w:rPr>
      </w:r>
      <w:r>
        <w:rPr>
          <w:rFonts w:ascii="Arial" w:cs="Arial"/>
          <w:color w:val="000000"/>
        </w:rPr>
      </w:r>
    </w:p>
    <w:p w14:paraId="6DEE17D5" w14:textId="77777777">
      <w:pPr>
        <w:pStyle w:val="873"/>
        <w:pBdr/>
        <w:spacing w:after="0" w:before="0"/>
        <w:ind/>
        <w:rPr>
          <w:lang w:val="pt-BR"/>
        </w:rPr>
      </w:pPr>
      <w:r/>
      <w:bookmarkStart w:id="87" w:name="_Toc190764815"/>
      <w:r/>
      <w:bookmarkStart w:id="88" w:name="_Toc12592"/>
      <w:r>
        <w:rPr>
          <w:sz w:val="20"/>
          <w:lang w:val="pt-BR"/>
        </w:rPr>
        <w:t xml:space="preserve">26. DAS DISPOSIÇÕES GERAIS:</w:t>
      </w:r>
      <w:bookmarkEnd w:id="87"/>
      <w:r/>
      <w:bookmarkEnd w:id="88"/>
      <w:r>
        <w:rPr>
          <w:sz w:val="20"/>
          <w:lang w:val="pt-BR"/>
        </w:rPr>
        <w:t xml:space="preserve"> </w:t>
      </w:r>
      <w:r>
        <w:rPr>
          <w:lang w:val="pt-BR"/>
        </w:rPr>
      </w:r>
    </w:p>
    <w:p w14:paraId="6215375E" w14:textId="77777777">
      <w:pPr>
        <w:pBdr/>
        <w:spacing/>
        <w:ind/>
        <w:jc w:val="both"/>
        <w:rPr>
          <w:rFonts w:ascii="Arial" w:cs="Arial"/>
          <w:b/>
          <w:sz w:val="19"/>
          <w:szCs w:val="19"/>
        </w:rPr>
      </w:pPr>
      <w:r>
        <w:rPr>
          <w:rFonts w:ascii="Arial" w:cs="Arial"/>
          <w:b/>
          <w:sz w:val="19"/>
          <w:szCs w:val="19"/>
        </w:rPr>
      </w:r>
      <w:r>
        <w:rPr>
          <w:rFonts w:ascii="Arial" w:cs="Arial"/>
          <w:b/>
          <w:sz w:val="19"/>
          <w:szCs w:val="19"/>
        </w:rPr>
      </w:r>
    </w:p>
    <w:p w14:paraId="62FA0E0D" w14:textId="77777777">
      <w:pPr>
        <w:pBdr/>
        <w:spacing/>
        <w:ind/>
        <w:jc w:val="both"/>
        <w:rPr/>
      </w:pPr>
      <w:r>
        <w:rPr>
          <w:rFonts w:ascii="Arial" w:hAnsi="Arial" w:cs="Arial"/>
          <w:b/>
          <w:sz w:val="19"/>
          <w:szCs w:val="19"/>
        </w:rPr>
        <w:t xml:space="preserve">26</w:t>
      </w:r>
      <w:r>
        <w:rPr>
          <w:rFonts w:ascii="Arial" w:hAnsi="Arial" w:cs="Arial"/>
          <w:b/>
          <w:color w:val="000000"/>
          <w:sz w:val="19"/>
          <w:szCs w:val="19"/>
        </w:rPr>
        <w:t xml:space="preserve">.1.</w:t>
      </w:r>
      <w:r>
        <w:rPr>
          <w:rFonts w:ascii="Arial" w:hAnsi="Arial" w:cs="Arial"/>
          <w:color w:val="000000"/>
          <w:sz w:val="19"/>
          <w:szCs w:val="19"/>
        </w:rPr>
        <w:t xml:space="preserve"> </w:t>
      </w:r>
      <w:r>
        <w:rPr>
          <w:rFonts w:ascii="Arial" w:hAnsi="Arial" w:cs="Arial"/>
          <w:sz w:val="19"/>
          <w:szCs w:val="19"/>
        </w:rPr>
        <w:t xml:space="preserve">Os licitantes assumem todos os custos de preparação e apresentação de suas propostas e a Administração não será, em nenhum caso, responsável por esses custos, independentemente da condução ou do resultado do processo licitatório.</w:t>
      </w:r>
      <w:r/>
    </w:p>
    <w:p w14:paraId="2DFA010F" w14:textId="77777777">
      <w:pPr>
        <w:pBdr/>
        <w:spacing/>
        <w:ind/>
        <w:jc w:val="both"/>
        <w:rPr>
          <w:rFonts w:ascii="Arial" w:cs="Arial"/>
          <w:b/>
          <w:sz w:val="19"/>
          <w:szCs w:val="19"/>
        </w:rPr>
      </w:pPr>
      <w:r>
        <w:rPr>
          <w:rFonts w:ascii="Arial" w:cs="Arial"/>
          <w:b/>
          <w:sz w:val="19"/>
          <w:szCs w:val="19"/>
        </w:rPr>
      </w:r>
      <w:r>
        <w:rPr>
          <w:rFonts w:ascii="Arial" w:cs="Arial"/>
          <w:b/>
          <w:sz w:val="19"/>
          <w:szCs w:val="19"/>
        </w:rPr>
      </w:r>
    </w:p>
    <w:p w14:paraId="6B076B59" w14:textId="77777777">
      <w:pPr>
        <w:pBdr/>
        <w:spacing/>
        <w:ind/>
        <w:jc w:val="both"/>
        <w:rPr/>
      </w:pPr>
      <w:r>
        <w:rPr>
          <w:rFonts w:ascii="Arial" w:hAnsi="Arial" w:cs="Arial"/>
          <w:b/>
          <w:sz w:val="19"/>
          <w:szCs w:val="19"/>
        </w:rPr>
        <w:t xml:space="preserve">26</w:t>
      </w:r>
      <w:r>
        <w:rPr>
          <w:rFonts w:ascii="Arial" w:hAnsi="Arial" w:cs="Arial"/>
          <w:b/>
          <w:color w:val="000000"/>
          <w:sz w:val="19"/>
          <w:szCs w:val="19"/>
        </w:rPr>
        <w:t xml:space="preserve">.2.</w:t>
      </w:r>
      <w:r>
        <w:rPr>
          <w:rFonts w:ascii="Arial" w:hAnsi="Arial" w:cs="Arial"/>
          <w:color w:val="000000"/>
          <w:sz w:val="19"/>
          <w:szCs w:val="19"/>
        </w:rPr>
        <w:t xml:space="preserve"> </w:t>
      </w:r>
      <w:r>
        <w:rPr>
          <w:rFonts w:ascii="Arial" w:hAnsi="Arial" w:cs="Arial"/>
          <w:sz w:val="19"/>
          <w:szCs w:val="19"/>
        </w:rPr>
        <w:t xml:space="preserve">O desatendimento de exigências formais não essenciais não importará o afastamento do licitante, desde que seja possível o aproveitamento do ato, observados os princípios da isonomia e do interesse público.</w:t>
      </w:r>
      <w:r/>
    </w:p>
    <w:p w14:paraId="16AE1970" w14:textId="77777777">
      <w:pPr>
        <w:pBdr/>
        <w:spacing/>
        <w:ind/>
        <w:jc w:val="both"/>
        <w:rPr>
          <w:rFonts w:ascii="Arial" w:cs="Arial"/>
        </w:rPr>
      </w:pPr>
      <w:r>
        <w:rPr>
          <w:rFonts w:ascii="Arial" w:cs="Arial"/>
        </w:rPr>
      </w:r>
      <w:r>
        <w:rPr>
          <w:rFonts w:ascii="Arial" w:cs="Arial"/>
        </w:rPr>
      </w:r>
    </w:p>
    <w:p w14:paraId="3012AAF1" w14:textId="77777777">
      <w:pPr>
        <w:pBdr/>
        <w:spacing/>
        <w:ind/>
        <w:jc w:val="both"/>
        <w:rPr/>
      </w:pPr>
      <w:r>
        <w:rPr>
          <w:rFonts w:ascii="Arial" w:hAnsi="Arial" w:cs="Arial"/>
          <w:b/>
        </w:rPr>
        <w:t xml:space="preserve">26</w:t>
      </w:r>
      <w:r>
        <w:rPr>
          <w:rFonts w:ascii="Arial" w:hAnsi="Arial" w:cs="Arial"/>
          <w:b/>
          <w:color w:val="000000"/>
        </w:rPr>
        <w:t xml:space="preserve">.3.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r/>
    </w:p>
    <w:p w14:paraId="57349D71" w14:textId="77777777">
      <w:pPr>
        <w:pBdr/>
        <w:spacing/>
        <w:ind w:left="284"/>
        <w:jc w:val="both"/>
        <w:rPr>
          <w:rFonts w:ascii="Arial" w:cs="Arial"/>
          <w:b/>
          <w:color w:val="000000"/>
        </w:rPr>
      </w:pPr>
      <w:r>
        <w:rPr>
          <w:rFonts w:ascii="Arial" w:cs="Arial"/>
          <w:b/>
          <w:color w:val="000000"/>
        </w:rPr>
      </w:r>
      <w:r>
        <w:rPr>
          <w:rFonts w:ascii="Arial" w:cs="Arial"/>
          <w:b/>
          <w:color w:val="000000"/>
        </w:rPr>
      </w:r>
    </w:p>
    <w:p w14:paraId="1888D33E" w14:textId="77777777">
      <w:pPr>
        <w:pBdr/>
        <w:spacing/>
        <w:ind w:left="284"/>
        <w:jc w:val="both"/>
        <w:rPr/>
      </w:pPr>
      <w:r>
        <w:rPr>
          <w:rFonts w:ascii="Arial" w:hAnsi="Arial" w:cs="Arial"/>
          <w:b/>
          <w:color w:val="000000"/>
        </w:rPr>
        <w:t xml:space="preserve">26.3.1.</w:t>
      </w:r>
      <w:r>
        <w:rPr>
          <w:rFonts w:ascii="Arial" w:hAnsi="Arial" w:cs="Arial"/>
          <w:color w:val="000000"/>
        </w:rPr>
        <w:t xml:space="preserve"> Todos e quaisquer avisos pertinentes ao certame, </w:t>
      </w:r>
      <w:r>
        <w:rPr>
          <w:rFonts w:ascii="Arial" w:hAnsi="Arial" w:cs="Arial"/>
          <w:b/>
        </w:rPr>
        <w:t xml:space="preserve">adendos, esclarecimentos, impugnações, </w:t>
      </w:r>
      <w:r>
        <w:rPr>
          <w:rFonts w:ascii="Arial" w:hAnsi="Arial" w:cs="Arial"/>
        </w:rPr>
        <w:t xml:space="preserve">farão parte do instrumento convocatório, </w:t>
      </w:r>
      <w:r>
        <w:rPr>
          <w:rFonts w:ascii="Arial" w:hAnsi="Arial" w:cs="Arial"/>
          <w:color w:val="000000"/>
        </w:rPr>
        <w:t xml:space="preserve">suspensão em decorrência de horário de expediente ou fatos supervenientes, serão postados no chat e/ou anexados no campo “</w:t>
      </w:r>
      <w:r>
        <w:rPr>
          <w:rFonts w:ascii="Arial" w:hAnsi="Arial" w:cs="Arial"/>
          <w:b/>
          <w:color w:val="000000"/>
        </w:rPr>
        <w:t xml:space="preserve">DOCUMENTO</w:t>
      </w:r>
      <w:r>
        <w:rPr>
          <w:rFonts w:ascii="Arial" w:hAnsi="Arial" w:cs="Arial"/>
          <w:color w:val="000000"/>
        </w:rPr>
        <w:t xml:space="preserve">” no sistema </w:t>
      </w:r>
      <w:hyperlink r:id="rId44" w:tooltip="http://bllcompras.com" w:history="1">
        <w:r>
          <w:rPr>
            <w:rFonts w:ascii="Arial" w:hAnsi="Arial" w:cs="Arial"/>
            <w:b/>
            <w:color w:val="000000"/>
            <w:u w:val="single"/>
          </w:rPr>
          <w:t xml:space="preserve">bllcompras.com</w:t>
        </w:r>
      </w:hyperlink>
      <w:r>
        <w:rPr>
          <w:rFonts w:ascii="Arial" w:hAnsi="Arial" w:cs="Arial"/>
          <w:color w:val="000000"/>
        </w:rPr>
        <w:t xml:space="preserve">, sendo de inteira responsabilidade o acompanhamento por parte do licitante.</w:t>
      </w:r>
      <w:r>
        <w:rPr>
          <w:rFonts w:ascii="Arial" w:hAnsi="Arial" w:cs="Arial"/>
          <w:color w:val="ff0000"/>
        </w:rPr>
        <w:t xml:space="preserve"> </w:t>
      </w:r>
      <w:r>
        <w:rPr>
          <w:rFonts w:ascii="Arial" w:hAnsi="Arial" w:cs="Arial"/>
          <w:color w:val="000000"/>
        </w:rPr>
        <w:t xml:space="preserve">Não podendo o licitante alegar desconhecimento da informação, sob pena de decair seus direitos. </w:t>
      </w:r>
      <w:r/>
    </w:p>
    <w:p w14:paraId="541CA72C" w14:textId="77777777">
      <w:pPr>
        <w:pBdr/>
        <w:spacing/>
        <w:ind/>
        <w:jc w:val="both"/>
        <w:rPr>
          <w:rFonts w:ascii="Arial" w:cs="Arial"/>
          <w:b/>
        </w:rPr>
      </w:pPr>
      <w:r>
        <w:rPr>
          <w:rFonts w:ascii="Arial" w:cs="Arial"/>
          <w:b/>
        </w:rPr>
      </w:r>
      <w:r>
        <w:rPr>
          <w:rFonts w:ascii="Arial" w:cs="Arial"/>
          <w:b/>
        </w:rPr>
      </w:r>
    </w:p>
    <w:p w14:paraId="6A461EEB" w14:textId="77777777">
      <w:pPr>
        <w:pBdr/>
        <w:spacing/>
        <w:ind/>
        <w:jc w:val="both"/>
        <w:rPr/>
      </w:pPr>
      <w:r>
        <w:rPr>
          <w:rFonts w:ascii="Arial" w:hAnsi="Arial" w:cs="Arial"/>
          <w:b/>
        </w:rPr>
        <w:t xml:space="preserve">26.4.</w:t>
      </w:r>
      <w:r>
        <w:rPr>
          <w:rFonts w:ascii="Arial" w:hAnsi="Arial" w:cs="Arial"/>
        </w:rPr>
        <w:t xml:space="preserve"> Não havendo expediente ou ocorrendo qualquer fato sup</w:t>
      </w:r>
      <w:r>
        <w:rPr>
          <w:rFonts w:ascii="Arial" w:hAnsi="Arial" w:cs="Arial"/>
        </w:rPr>
        <w:t xml:space="preserve">erveniente que impeça a realização do certame na data marcada, a sessão será automaticamente transferida para o primeiro dia útil subsequente, no mesmo horário e local, anteriormente estabelecidos, desde que não haja comunicação do Pregoeiro em contrário. </w:t>
      </w:r>
      <w:r/>
    </w:p>
    <w:p w14:paraId="1F1D18B5" w14:textId="77777777">
      <w:pPr>
        <w:pBdr/>
        <w:spacing/>
        <w:ind/>
        <w:jc w:val="both"/>
        <w:rPr>
          <w:rFonts w:ascii="Arial" w:cs="Arial"/>
          <w:b/>
          <w:sz w:val="19"/>
          <w:szCs w:val="19"/>
        </w:rPr>
      </w:pPr>
      <w:r>
        <w:rPr>
          <w:rFonts w:ascii="Arial" w:cs="Arial"/>
          <w:b/>
          <w:sz w:val="19"/>
          <w:szCs w:val="19"/>
        </w:rPr>
      </w:r>
      <w:r>
        <w:rPr>
          <w:rFonts w:ascii="Arial" w:cs="Arial"/>
          <w:b/>
          <w:sz w:val="19"/>
          <w:szCs w:val="19"/>
        </w:rPr>
      </w:r>
    </w:p>
    <w:p w14:paraId="3A498A7B" w14:textId="77777777">
      <w:pPr>
        <w:pBdr/>
        <w:spacing/>
        <w:ind/>
        <w:jc w:val="both"/>
        <w:rPr/>
      </w:pPr>
      <w:r>
        <w:rPr>
          <w:rFonts w:ascii="Arial" w:hAnsi="Arial" w:cs="Arial"/>
          <w:b/>
          <w:sz w:val="19"/>
          <w:szCs w:val="19"/>
        </w:rPr>
        <w:t xml:space="preserve">26.5.</w:t>
      </w:r>
      <w:r>
        <w:rPr>
          <w:rFonts w:ascii="Arial" w:hAnsi="Arial" w:cs="Arial"/>
          <w:sz w:val="19"/>
          <w:szCs w:val="19"/>
        </w:rPr>
        <w:t xml:space="preserve"> Os licitantes deverão examinar detidamente as dispo</w:t>
      </w:r>
      <w:r>
        <w:rPr>
          <w:rFonts w:ascii="Arial" w:hAnsi="Arial" w:cs="Arial"/>
          <w:sz w:val="19"/>
          <w:szCs w:val="19"/>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p>
    <w:p w14:paraId="32526966" w14:textId="77777777">
      <w:pPr>
        <w:pBdr/>
        <w:spacing/>
        <w:ind/>
        <w:jc w:val="both"/>
        <w:rPr>
          <w:rFonts w:ascii="Arial" w:cs="Arial"/>
          <w:b/>
        </w:rPr>
      </w:pPr>
      <w:r>
        <w:rPr>
          <w:rFonts w:ascii="Arial" w:cs="Arial"/>
          <w:b/>
        </w:rPr>
      </w:r>
      <w:r>
        <w:rPr>
          <w:rFonts w:ascii="Arial" w:cs="Arial"/>
          <w:b/>
        </w:rPr>
      </w:r>
    </w:p>
    <w:p w14:paraId="1EA24A4B" w14:textId="77777777">
      <w:pPr>
        <w:pBdr/>
        <w:spacing/>
        <w:ind/>
        <w:jc w:val="both"/>
        <w:rPr/>
      </w:pPr>
      <w:r>
        <w:rPr>
          <w:rFonts w:ascii="Arial" w:hAnsi="Arial" w:cs="Arial"/>
          <w:b/>
        </w:rPr>
        <w:t xml:space="preserve">26.6.</w:t>
      </w:r>
      <w:r>
        <w:rPr>
          <w:rFonts w:ascii="Arial" w:hAnsi="Arial" w:cs="Arial"/>
        </w:rPr>
        <w:t xml:space="preserve"> É facultada a</w:t>
      </w:r>
      <w:r>
        <w:rPr>
          <w:rFonts w:ascii="Arial" w:hAnsi="Arial" w:cs="Arial"/>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p>
    <w:p w14:paraId="5308E9B9" w14:textId="77777777">
      <w:pPr>
        <w:pBdr/>
        <w:spacing/>
        <w:ind/>
        <w:jc w:val="both"/>
        <w:rPr>
          <w:rFonts w:ascii="Arial" w:cs="Arial"/>
          <w:b/>
        </w:rPr>
      </w:pPr>
      <w:r>
        <w:rPr>
          <w:rFonts w:ascii="Arial" w:cs="Arial"/>
          <w:b/>
        </w:rPr>
      </w:r>
      <w:r>
        <w:rPr>
          <w:rFonts w:ascii="Arial" w:cs="Arial"/>
          <w:b/>
        </w:rPr>
      </w:r>
    </w:p>
    <w:p w14:paraId="17FB4D2E" w14:textId="77777777">
      <w:pPr>
        <w:pBdr/>
        <w:spacing/>
        <w:ind/>
        <w:jc w:val="both"/>
        <w:rPr/>
      </w:pPr>
      <w:r>
        <w:rPr>
          <w:rFonts w:ascii="Arial" w:hAnsi="Arial" w:cs="Arial"/>
          <w:b/>
        </w:rPr>
        <w:t xml:space="preserve">26.7.</w:t>
      </w:r>
      <w:r>
        <w:rPr>
          <w:rFonts w:ascii="Arial" w:hAnsi="Arial" w:cs="Arial"/>
        </w:rPr>
        <w:t xml:space="preserve"> A Autoridade co</w:t>
      </w:r>
      <w:r>
        <w:rPr>
          <w:rFonts w:ascii="Arial" w:hAnsi="Arial" w:cs="Arial"/>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p>
    <w:p w14:paraId="1ECC9190" w14:textId="77777777">
      <w:pPr>
        <w:pBdr/>
        <w:spacing/>
        <w:ind w:left="284"/>
        <w:jc w:val="both"/>
        <w:rPr>
          <w:rFonts w:ascii="Arial" w:cs="Arial"/>
          <w:b/>
        </w:rPr>
      </w:pPr>
      <w:r>
        <w:rPr>
          <w:rFonts w:ascii="Arial" w:cs="Arial"/>
          <w:b/>
        </w:rPr>
      </w:r>
      <w:r>
        <w:rPr>
          <w:rFonts w:ascii="Arial" w:cs="Arial"/>
          <w:b/>
        </w:rPr>
      </w:r>
    </w:p>
    <w:p w14:paraId="28F90F77" w14:textId="77777777">
      <w:pPr>
        <w:pBdr/>
        <w:spacing/>
        <w:ind w:left="284"/>
        <w:jc w:val="both"/>
        <w:rPr/>
      </w:pPr>
      <w:r>
        <w:rPr>
          <w:rFonts w:ascii="Arial" w:hAnsi="Arial" w:cs="Arial"/>
          <w:b/>
        </w:rPr>
        <w:t xml:space="preserve">26.7.1.</w:t>
      </w:r>
      <w:r>
        <w:rPr>
          <w:rFonts w:ascii="Arial" w:hAnsi="Arial" w:cs="Arial"/>
        </w:rPr>
        <w:t xml:space="preserve"> A anulação do procedimento licitatório induz a anulação do contrato.</w:t>
      </w:r>
      <w:r/>
    </w:p>
    <w:p w14:paraId="75D30D03" w14:textId="77777777">
      <w:pPr>
        <w:pBdr/>
        <w:spacing/>
        <w:ind w:left="284"/>
        <w:jc w:val="both"/>
        <w:rPr>
          <w:rFonts w:ascii="Arial" w:cs="Arial"/>
          <w:b/>
        </w:rPr>
      </w:pPr>
      <w:r>
        <w:rPr>
          <w:rFonts w:ascii="Arial" w:cs="Arial"/>
          <w:b/>
        </w:rPr>
      </w:r>
      <w:r>
        <w:rPr>
          <w:rFonts w:ascii="Arial" w:cs="Arial"/>
          <w:b/>
        </w:rPr>
      </w:r>
    </w:p>
    <w:p w14:paraId="3CA7228D" w14:textId="77777777">
      <w:pPr>
        <w:pBdr/>
        <w:spacing/>
        <w:ind w:left="284"/>
        <w:jc w:val="both"/>
        <w:rPr/>
      </w:pPr>
      <w:r>
        <w:rPr>
          <w:rFonts w:ascii="Arial" w:hAnsi="Arial" w:cs="Arial"/>
          <w:b/>
        </w:rPr>
        <w:t xml:space="preserve">26.7.2.</w:t>
      </w:r>
      <w:r>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r/>
    </w:p>
    <w:p w14:paraId="72E55BCD" w14:textId="77777777">
      <w:pPr>
        <w:pBdr/>
        <w:spacing/>
        <w:ind/>
        <w:jc w:val="both"/>
        <w:rPr>
          <w:rFonts w:ascii="Arial" w:cs="Arial"/>
          <w:b/>
        </w:rPr>
      </w:pPr>
      <w:r>
        <w:rPr>
          <w:rFonts w:ascii="Arial" w:cs="Arial"/>
          <w:b/>
        </w:rPr>
      </w:r>
      <w:r>
        <w:rPr>
          <w:rFonts w:ascii="Arial" w:cs="Arial"/>
          <w:b/>
        </w:rPr>
      </w:r>
    </w:p>
    <w:p w14:paraId="63FFCCD8" w14:textId="77777777">
      <w:pPr>
        <w:pBdr/>
        <w:spacing/>
        <w:ind/>
        <w:jc w:val="both"/>
        <w:rPr/>
      </w:pPr>
      <w:r>
        <w:rPr>
          <w:rFonts w:ascii="Arial" w:hAnsi="Arial" w:cs="Arial"/>
          <w:b/>
        </w:rPr>
        <w:t xml:space="preserve">26.8.</w:t>
      </w:r>
      <w:r>
        <w:rPr>
          <w:rFonts w:ascii="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p>
    <w:p w14:paraId="67626098" w14:textId="77777777">
      <w:pPr>
        <w:pBdr/>
        <w:spacing/>
        <w:ind/>
        <w:jc w:val="both"/>
        <w:rPr>
          <w:rFonts w:ascii="Arial" w:cs="Arial"/>
        </w:rPr>
      </w:pPr>
      <w:r>
        <w:rPr>
          <w:rFonts w:ascii="Arial" w:cs="Arial"/>
        </w:rPr>
      </w:r>
      <w:r>
        <w:rPr>
          <w:rFonts w:ascii="Arial" w:cs="Arial"/>
        </w:rPr>
      </w:r>
    </w:p>
    <w:p w14:paraId="44209729" w14:textId="77777777">
      <w:pPr>
        <w:pBdr/>
        <w:spacing/>
        <w:ind/>
        <w:jc w:val="both"/>
        <w:rPr/>
      </w:pPr>
      <w:r>
        <w:rPr>
          <w:rFonts w:ascii="Arial" w:hAnsi="Arial" w:cs="Arial"/>
          <w:b/>
        </w:rPr>
        <w:t xml:space="preserve">26.9.</w:t>
      </w:r>
      <w:r>
        <w:rPr>
          <w:rFonts w:ascii="Arial" w:hAnsi="Arial" w:cs="Arial"/>
        </w:rPr>
        <w:t xml:space="preserve"> A homologação do resultado desta licitação não implicará direito à contratação. </w:t>
      </w:r>
      <w:r/>
    </w:p>
    <w:p w14:paraId="3153E7F9" w14:textId="77777777">
      <w:pPr>
        <w:pBdr/>
        <w:spacing/>
        <w:ind/>
        <w:jc w:val="both"/>
        <w:rPr>
          <w:rFonts w:ascii="Arial" w:cs="Arial"/>
          <w:b/>
        </w:rPr>
      </w:pPr>
      <w:r>
        <w:rPr>
          <w:rFonts w:ascii="Arial" w:cs="Arial"/>
          <w:b/>
        </w:rPr>
      </w:r>
      <w:r>
        <w:rPr>
          <w:rFonts w:ascii="Arial" w:cs="Arial"/>
          <w:b/>
        </w:rPr>
      </w:r>
    </w:p>
    <w:p w14:paraId="7AF6FA65" w14:textId="77777777">
      <w:pPr>
        <w:pBdr/>
        <w:spacing/>
        <w:ind/>
        <w:jc w:val="both"/>
        <w:rPr/>
      </w:pPr>
      <w:r>
        <w:rPr>
          <w:rFonts w:ascii="Arial" w:hAnsi="Arial" w:cs="Arial"/>
          <w:b/>
          <w:color w:val="000000"/>
        </w:rPr>
        <w:t xml:space="preserve">26.10.</w:t>
      </w:r>
      <w:r>
        <w:rPr>
          <w:rFonts w:ascii="Arial" w:hAnsi="Arial" w:cs="Arial"/>
          <w:color w:val="000000"/>
        </w:rPr>
        <w:t xml:space="preserve"> É de inteira responsabilidade do licitante o acompanhamento no </w:t>
      </w:r>
      <w:r>
        <w:rPr>
          <w:rFonts w:ascii="Arial" w:hAnsi="Arial" w:cs="Arial"/>
          <w:b/>
          <w:color w:val="000000"/>
        </w:rPr>
        <w:t xml:space="preserve">site bllcompras.com</w:t>
      </w:r>
      <w:r>
        <w:rPr>
          <w:rFonts w:ascii="Arial" w:hAnsi="Arial" w:cs="Arial"/>
          <w:color w:val="000000"/>
        </w:rPr>
        <w:t xml:space="preserve"> quanto a sua classificação/desclassificação, ficando responsável pelo ônus decorrente da perda de negócios diante da inobservância e cumprimento do prazo. </w:t>
      </w:r>
      <w:r/>
    </w:p>
    <w:p w14:paraId="6FF0E4B5" w14:textId="77777777">
      <w:pPr>
        <w:pBdr/>
        <w:spacing/>
        <w:ind/>
        <w:jc w:val="both"/>
        <w:rPr>
          <w:rFonts w:ascii="Arial" w:cs="Arial"/>
          <w:b/>
        </w:rPr>
      </w:pPr>
      <w:r>
        <w:rPr>
          <w:rFonts w:ascii="Arial" w:cs="Arial"/>
          <w:b/>
        </w:rPr>
      </w:r>
      <w:r>
        <w:rPr>
          <w:rFonts w:ascii="Arial" w:cs="Arial"/>
          <w:b/>
        </w:rPr>
      </w:r>
    </w:p>
    <w:p w14:paraId="0782E2E0" w14:textId="77777777">
      <w:pPr>
        <w:pBdr/>
        <w:spacing/>
        <w:ind/>
        <w:jc w:val="both"/>
        <w:rPr/>
      </w:pPr>
      <w:r>
        <w:rPr>
          <w:rFonts w:ascii="Arial" w:hAnsi="Arial" w:cs="Arial"/>
          <w:b/>
        </w:rPr>
        <w:t xml:space="preserve">26.11.</w:t>
      </w:r>
      <w:r>
        <w:rPr>
          <w:rFonts w:ascii="Arial" w:hAnsi="Arial" w:cs="Arial"/>
        </w:rPr>
        <w:t xml:space="preserve"> Quaisquer cláusulas deste edital que não seja cumprido, caberá ao pregoeiro a decisão sobre a desclassificação do licitante, em razão dos danos causados ao processo. </w:t>
      </w:r>
      <w:r/>
    </w:p>
    <w:p w14:paraId="43466D3D" w14:textId="77777777">
      <w:pPr>
        <w:pBdr/>
        <w:spacing/>
        <w:ind w:left="284"/>
        <w:jc w:val="both"/>
        <w:rPr>
          <w:rFonts w:ascii="Arial" w:cs="Arial"/>
          <w:b/>
        </w:rPr>
      </w:pPr>
      <w:r>
        <w:rPr>
          <w:rFonts w:ascii="Arial" w:cs="Arial"/>
          <w:b/>
        </w:rPr>
      </w:r>
      <w:r>
        <w:rPr>
          <w:rFonts w:ascii="Arial" w:cs="Arial"/>
          <w:b/>
        </w:rPr>
      </w:r>
    </w:p>
    <w:p w14:paraId="7FD98A08" w14:textId="77777777">
      <w:pPr>
        <w:pBdr/>
        <w:spacing/>
        <w:ind/>
        <w:jc w:val="both"/>
        <w:rPr/>
      </w:pPr>
      <w:r>
        <w:rPr>
          <w:rFonts w:ascii="Arial" w:hAnsi="Arial" w:cs="Arial"/>
          <w:b/>
        </w:rPr>
        <w:t xml:space="preserve">26.12.</w:t>
      </w:r>
      <w:r>
        <w:rPr>
          <w:rFonts w:ascii="Arial" w:hAnsi="Arial" w:cs="Arial"/>
        </w:rPr>
        <w:t xml:space="preserve"> O Edital está disponível, na íntegra, </w:t>
      </w:r>
      <w:r>
        <w:rPr>
          <w:rFonts w:ascii="Arial" w:hAnsi="Arial" w:cs="Arial"/>
          <w:b/>
        </w:rPr>
        <w:t xml:space="preserve">no endereço </w:t>
      </w:r>
      <w:hyperlink r:id="rId45" w:tooltip="http://www.rondonopolis.mt.gov.br" w:history="1">
        <w:r>
          <w:rPr>
            <w:rFonts w:ascii="Arial" w:hAnsi="Arial" w:cs="Arial"/>
            <w:b/>
            <w:color w:val="000000"/>
            <w:u w:val="single"/>
          </w:rPr>
          <w:t xml:space="preserve">www.rondonopolis.mt.gov.br</w:t>
        </w:r>
      </w:hyperlink>
      <w:r>
        <w:rPr>
          <w:rFonts w:ascii="Arial" w:hAnsi="Arial" w:cs="Arial"/>
        </w:rPr>
        <w:t xml:space="preserve">, e também poderão ser lidos e/ou obtidos em dias úteis, no endereço e horário indicado no preambulo deste edital; no mesmo endereço e período no qual os autos do processo administrativo permanecerão com vista franqueada aos interessados.</w:t>
      </w:r>
      <w:r/>
    </w:p>
    <w:p w14:paraId="5791630B" w14:textId="77777777">
      <w:pPr>
        <w:pBdr/>
        <w:spacing/>
        <w:ind w:left="284"/>
        <w:jc w:val="both"/>
        <w:rPr>
          <w:rFonts w:ascii="Arial" w:cs="Arial"/>
        </w:rPr>
      </w:pPr>
      <w:r>
        <w:rPr>
          <w:rFonts w:ascii="Arial" w:cs="Arial"/>
        </w:rPr>
      </w:r>
      <w:r>
        <w:rPr>
          <w:rFonts w:ascii="Arial" w:cs="Arial"/>
        </w:rPr>
      </w:r>
    </w:p>
    <w:p w14:paraId="7F918CDC" w14:textId="77777777">
      <w:pPr>
        <w:pBdr/>
        <w:spacing/>
        <w:ind/>
        <w:jc w:val="both"/>
        <w:rPr/>
      </w:pPr>
      <w:r>
        <w:rPr>
          <w:rFonts w:ascii="Arial" w:hAnsi="Arial" w:cs="Arial"/>
          <w:b/>
          <w:color w:val="000000"/>
        </w:rPr>
        <w:t xml:space="preserve">26.13.</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r/>
    </w:p>
    <w:p w14:paraId="0DD5DB65" w14:textId="77777777">
      <w:pPr>
        <w:pBdr/>
        <w:spacing/>
        <w:ind/>
        <w:jc w:val="both"/>
        <w:rPr>
          <w:rFonts w:ascii="Arial" w:cs="Arial"/>
          <w:b/>
        </w:rPr>
      </w:pPr>
      <w:r>
        <w:rPr>
          <w:rFonts w:ascii="Arial" w:cs="Arial"/>
          <w:b/>
        </w:rPr>
      </w:r>
      <w:r>
        <w:rPr>
          <w:rFonts w:ascii="Arial" w:cs="Arial"/>
          <w:b/>
        </w:rPr>
      </w:r>
    </w:p>
    <w:p w14:paraId="604E74C0" w14:textId="77777777">
      <w:pPr>
        <w:pStyle w:val="873"/>
        <w:pBdr/>
        <w:spacing w:after="0" w:before="0"/>
        <w:ind/>
        <w:rPr>
          <w:lang w:val="pt-BR"/>
        </w:rPr>
      </w:pPr>
      <w:r/>
      <w:bookmarkStart w:id="89" w:name="_Toc190764816"/>
      <w:r/>
      <w:bookmarkStart w:id="90" w:name="_Toc28375"/>
      <w:r>
        <w:rPr>
          <w:sz w:val="20"/>
          <w:lang w:val="pt-BR"/>
        </w:rPr>
        <w:t xml:space="preserve">27. INTEGRAM ESTE EDITAL, PARA TODOS OS FINS E EFEITOS, OS SEGUINTES ANEXOS:</w:t>
      </w:r>
      <w:bookmarkEnd w:id="89"/>
      <w:r/>
      <w:bookmarkEnd w:id="90"/>
      <w:r>
        <w:rPr>
          <w:sz w:val="20"/>
          <w:lang w:val="pt-BR"/>
        </w:rPr>
        <w:t xml:space="preserve"> </w:t>
      </w:r>
      <w:r>
        <w:rPr>
          <w:lang w:val="pt-BR"/>
        </w:rPr>
      </w:r>
    </w:p>
    <w:p w14:paraId="3CE1D965" w14:textId="77777777">
      <w:pPr>
        <w:pBdr/>
        <w:spacing/>
        <w:ind w:left="284"/>
        <w:jc w:val="both"/>
        <w:rPr>
          <w:rFonts w:ascii="Arial" w:cs="Arial"/>
          <w:b/>
        </w:rPr>
      </w:pPr>
      <w:r>
        <w:rPr>
          <w:rFonts w:ascii="Arial" w:cs="Arial"/>
          <w:b/>
        </w:rPr>
      </w:r>
      <w:r>
        <w:rPr>
          <w:rFonts w:ascii="Arial" w:cs="Arial"/>
          <w:b/>
        </w:rPr>
      </w:r>
    </w:p>
    <w:p w14:paraId="3F5DC3E5" w14:textId="77777777">
      <w:pPr>
        <w:pBdr/>
        <w:spacing/>
        <w:ind w:left="284"/>
        <w:jc w:val="both"/>
        <w:rPr/>
      </w:pPr>
      <w:r>
        <w:rPr>
          <w:rFonts w:ascii="Arial" w:hAnsi="Arial" w:cs="Arial"/>
          <w:b/>
        </w:rPr>
        <w:t xml:space="preserve">27.1.</w:t>
      </w:r>
      <w:r>
        <w:rPr>
          <w:rFonts w:ascii="Arial" w:hAnsi="Arial" w:cs="Arial"/>
        </w:rPr>
        <w:t xml:space="preserve"> ANEXO I – </w:t>
      </w:r>
      <w:r>
        <w:rPr>
          <w:rFonts w:ascii="Arial" w:hAnsi="Arial" w:cs="Arial"/>
          <w:b/>
        </w:rPr>
        <w:t xml:space="preserve">TERMO DE REFERÊNCIA; </w:t>
      </w:r>
      <w:r/>
    </w:p>
    <w:p w14:paraId="0B30F79E" w14:textId="77777777">
      <w:pPr>
        <w:pBdr/>
        <w:spacing/>
        <w:ind w:left="284"/>
        <w:jc w:val="both"/>
        <w:rPr>
          <w:rFonts w:ascii="Arial" w:cs="Arial"/>
        </w:rPr>
      </w:pPr>
      <w:r>
        <w:rPr>
          <w:rFonts w:ascii="Arial" w:cs="Arial"/>
        </w:rPr>
      </w:r>
      <w:r>
        <w:rPr>
          <w:rFonts w:ascii="Arial" w:cs="Arial"/>
        </w:rPr>
      </w:r>
    </w:p>
    <w:p w14:paraId="7098308D" w14:textId="77777777">
      <w:pPr>
        <w:pBdr/>
        <w:spacing/>
        <w:ind w:left="284"/>
        <w:jc w:val="both"/>
        <w:rPr/>
      </w:pPr>
      <w:r>
        <w:rPr>
          <w:rFonts w:ascii="Arial" w:hAnsi="Arial" w:cs="Arial"/>
          <w:b/>
        </w:rPr>
        <w:t xml:space="preserve">27.2.</w:t>
      </w:r>
      <w:r>
        <w:rPr>
          <w:rFonts w:ascii="Arial" w:hAnsi="Arial" w:cs="Arial"/>
        </w:rPr>
        <w:t xml:space="preserve"> ANEXO II – </w:t>
      </w:r>
      <w:r>
        <w:rPr>
          <w:rFonts w:ascii="Arial" w:hAnsi="Arial" w:cs="Arial"/>
          <w:b/>
        </w:rPr>
        <w:t xml:space="preserve">MINUTA DA ATA DE REGISTRO DE PREÇOS;</w:t>
      </w:r>
      <w:r/>
    </w:p>
    <w:p w14:paraId="198B8E5B" w14:textId="77777777">
      <w:pPr>
        <w:pBdr/>
        <w:spacing/>
        <w:ind w:left="284"/>
        <w:jc w:val="both"/>
        <w:rPr>
          <w:rFonts w:ascii="Arial" w:cs="Arial"/>
        </w:rPr>
      </w:pPr>
      <w:r>
        <w:rPr>
          <w:rFonts w:ascii="Arial" w:cs="Arial"/>
        </w:rPr>
      </w:r>
      <w:r>
        <w:rPr>
          <w:rFonts w:ascii="Arial" w:cs="Arial"/>
        </w:rPr>
      </w:r>
    </w:p>
    <w:p w14:paraId="19E0F9B9" w14:textId="77777777">
      <w:pPr>
        <w:pBdr/>
        <w:spacing/>
        <w:ind w:left="284"/>
        <w:jc w:val="both"/>
        <w:rPr/>
      </w:pPr>
      <w:r>
        <w:rPr>
          <w:rFonts w:ascii="Arial" w:hAnsi="Arial" w:cs="Arial"/>
          <w:b/>
        </w:rPr>
        <w:t xml:space="preserve">27.3.</w:t>
      </w:r>
      <w:r>
        <w:rPr>
          <w:rFonts w:ascii="Arial" w:hAnsi="Arial" w:cs="Arial"/>
        </w:rPr>
        <w:t xml:space="preserve"> ANEXO III – </w:t>
      </w:r>
      <w:r>
        <w:rPr>
          <w:rFonts w:ascii="Arial" w:hAnsi="Arial" w:cs="Arial"/>
          <w:b/>
        </w:rPr>
        <w:t xml:space="preserve">MINUTA DO CONTRATO;</w:t>
      </w:r>
      <w:r/>
    </w:p>
    <w:p w14:paraId="66D8FEAE" w14:textId="77777777">
      <w:pPr>
        <w:pBdr/>
        <w:spacing/>
        <w:ind w:left="284"/>
        <w:jc w:val="both"/>
        <w:rPr>
          <w:rFonts w:ascii="Arial" w:cs="Arial"/>
        </w:rPr>
      </w:pPr>
      <w:r>
        <w:rPr>
          <w:rFonts w:ascii="Arial" w:cs="Arial"/>
        </w:rPr>
      </w:r>
      <w:r>
        <w:rPr>
          <w:rFonts w:ascii="Arial" w:cs="Arial"/>
        </w:rPr>
      </w:r>
    </w:p>
    <w:p w14:paraId="2DAF3633" w14:textId="77777777">
      <w:pPr>
        <w:pBdr/>
        <w:spacing/>
        <w:ind w:left="284"/>
        <w:jc w:val="both"/>
        <w:rPr/>
      </w:pPr>
      <w:r>
        <w:rPr>
          <w:rFonts w:ascii="Arial" w:hAnsi="Arial" w:cs="Arial"/>
          <w:b/>
        </w:rPr>
        <w:t xml:space="preserve">27.4.</w:t>
      </w:r>
      <w:r>
        <w:rPr>
          <w:rFonts w:ascii="Arial" w:hAnsi="Arial" w:cs="Arial"/>
        </w:rPr>
        <w:t xml:space="preserve"> ANEXO IV – </w:t>
      </w:r>
      <w:r>
        <w:rPr>
          <w:rFonts w:ascii="Arial" w:hAnsi="Arial" w:cs="Arial"/>
          <w:b/>
        </w:rPr>
        <w:t xml:space="preserve">MODELO DE PROPOSTA COMERCIAL</w:t>
      </w:r>
      <w:r>
        <w:rPr>
          <w:rFonts w:ascii="Arial" w:hAnsi="Arial" w:cs="Arial"/>
        </w:rPr>
        <w:t xml:space="preserve">;</w:t>
      </w:r>
      <w:r/>
    </w:p>
    <w:p w14:paraId="35BF05F7" w14:textId="77777777">
      <w:pPr>
        <w:pBdr/>
        <w:spacing/>
        <w:ind w:left="284"/>
        <w:jc w:val="both"/>
        <w:rPr>
          <w:rFonts w:ascii="Arial" w:cs="Arial"/>
        </w:rPr>
      </w:pPr>
      <w:r>
        <w:rPr>
          <w:rFonts w:ascii="Arial" w:cs="Arial"/>
        </w:rPr>
      </w:r>
      <w:r>
        <w:rPr>
          <w:rFonts w:ascii="Arial" w:cs="Arial"/>
        </w:rPr>
      </w:r>
    </w:p>
    <w:p w14:paraId="7C549A7C" w14:textId="77777777">
      <w:pPr>
        <w:pBdr/>
        <w:spacing/>
        <w:ind w:left="284"/>
        <w:jc w:val="both"/>
        <w:rPr/>
      </w:pPr>
      <w:r>
        <w:rPr>
          <w:rFonts w:ascii="Arial" w:hAnsi="Arial" w:cs="Arial"/>
          <w:b/>
        </w:rPr>
        <w:t xml:space="preserve">27.5.</w:t>
      </w:r>
      <w:r>
        <w:rPr>
          <w:rFonts w:ascii="Arial" w:hAnsi="Arial" w:cs="Arial"/>
        </w:rPr>
        <w:t xml:space="preserve"> ANEXO V – </w:t>
      </w:r>
      <w:r>
        <w:rPr>
          <w:rFonts w:ascii="Arial" w:hAnsi="Arial" w:cs="Arial"/>
          <w:b/>
        </w:rPr>
        <w:t xml:space="preserve">MODELO CREDENCIAMENTO E COMPROVAÇÕES COMPLEMENTARES ESPECIAIS</w:t>
      </w:r>
      <w:r>
        <w:rPr>
          <w:rFonts w:ascii="Arial" w:hAnsi="Arial" w:cs="Arial"/>
        </w:rPr>
        <w:t xml:space="preserve">;</w:t>
      </w:r>
      <w:r/>
    </w:p>
    <w:p w14:paraId="54B78B5F" w14:textId="77777777">
      <w:pPr>
        <w:pBdr/>
        <w:spacing/>
        <w:ind w:left="284"/>
        <w:jc w:val="both"/>
        <w:rPr>
          <w:rFonts w:ascii="Arial" w:cs="Arial"/>
          <w:b/>
        </w:rPr>
      </w:pPr>
      <w:r>
        <w:rPr>
          <w:rFonts w:ascii="Arial" w:cs="Arial"/>
          <w:b/>
        </w:rPr>
      </w:r>
      <w:r>
        <w:rPr>
          <w:rFonts w:ascii="Arial" w:cs="Arial"/>
          <w:b/>
        </w:rPr>
      </w:r>
    </w:p>
    <w:p w14:paraId="206A8CF6" w14:textId="77777777">
      <w:pPr>
        <w:pBdr/>
        <w:spacing/>
        <w:ind w:left="284"/>
        <w:jc w:val="both"/>
        <w:rPr/>
      </w:pPr>
      <w:r>
        <w:rPr>
          <w:rFonts w:ascii="Arial" w:hAnsi="Arial" w:cs="Arial"/>
          <w:b/>
        </w:rPr>
        <w:t xml:space="preserve">27.6.</w:t>
      </w:r>
      <w:r>
        <w:rPr>
          <w:rFonts w:ascii="Arial" w:hAnsi="Arial" w:cs="Arial"/>
        </w:rPr>
        <w:t xml:space="preserve"> ANEXO VI – </w:t>
      </w:r>
      <w:r>
        <w:rPr>
          <w:rFonts w:ascii="Arial" w:hAnsi="Arial" w:cs="Arial"/>
          <w:b/>
        </w:rPr>
        <w:t xml:space="preserve">FICHA DE ATUALIZAÇÃO CADASTRAL.</w:t>
      </w:r>
      <w:r/>
    </w:p>
    <w:p w14:paraId="32AE7DDA" w14:textId="77777777">
      <w:pPr>
        <w:pBdr/>
        <w:spacing/>
        <w:ind w:left="284"/>
        <w:jc w:val="both"/>
        <w:rPr>
          <w:rFonts w:ascii="Arial" w:cs="Arial"/>
        </w:rPr>
      </w:pPr>
      <w:r>
        <w:rPr>
          <w:rFonts w:ascii="Arial" w:cs="Arial"/>
        </w:rPr>
      </w:r>
      <w:r>
        <w:rPr>
          <w:rFonts w:ascii="Arial" w:cs="Arial"/>
        </w:rPr>
      </w:r>
    </w:p>
    <w:p w14:paraId="6B1EEEC8" w14:textId="77777777">
      <w:pPr>
        <w:pBdr/>
        <w:spacing/>
        <w:ind w:left="284"/>
        <w:jc w:val="both"/>
        <w:rPr>
          <w:rFonts w:ascii="Arial" w:hAnsi="Arial" w:cs="Arial"/>
          <w:b/>
        </w:rPr>
      </w:pPr>
      <w:r>
        <w:rPr>
          <w:rFonts w:ascii="Arial" w:hAnsi="Arial" w:cs="Arial"/>
          <w:b/>
        </w:rPr>
        <w:t xml:space="preserve">27.7.</w:t>
      </w:r>
      <w:r>
        <w:rPr>
          <w:rFonts w:ascii="Arial" w:hAnsi="Arial" w:cs="Arial"/>
        </w:rPr>
        <w:t xml:space="preserve"> ANEXO VII – </w:t>
      </w:r>
      <w:r>
        <w:rPr>
          <w:rFonts w:ascii="Arial" w:hAnsi="Arial" w:cs="Arial"/>
          <w:b/>
        </w:rPr>
        <w:t xml:space="preserve">ANEXO FORMAÇÃO DE PREÇOS, FORMULÁRIO PADRÃO DA P.M.R.</w:t>
      </w:r>
      <w:r>
        <w:rPr>
          <w:rFonts w:ascii="Arial" w:hAnsi="Arial" w:cs="Arial"/>
          <w:b/>
        </w:rPr>
      </w:r>
    </w:p>
    <w:p w14:paraId="1CBB5FA7" w14:textId="77777777">
      <w:pPr>
        <w:pBdr/>
        <w:spacing/>
        <w:ind w:left="284"/>
        <w:jc w:val="both"/>
        <w:rPr>
          <w:rFonts w:ascii="Arial" w:hAnsi="Arial" w:cs="Arial"/>
          <w:b/>
        </w:rPr>
      </w:pPr>
      <w:r>
        <w:rPr>
          <w:rFonts w:ascii="Arial" w:hAnsi="Arial" w:cs="Arial"/>
          <w:b/>
        </w:rPr>
      </w:r>
      <w:r>
        <w:rPr>
          <w:rFonts w:ascii="Arial" w:hAnsi="Arial" w:cs="Arial"/>
          <w:b/>
        </w:rPr>
      </w:r>
    </w:p>
    <w:p w14:paraId="5B5139D8" w14:textId="77777777">
      <w:pPr>
        <w:pBdr/>
        <w:spacing/>
        <w:ind w:left="284"/>
        <w:jc w:val="both"/>
        <w:rPr>
          <w:rFonts w:ascii="Arial" w:hAnsi="Arial" w:cs="Arial"/>
          <w:b/>
          <w:bCs/>
        </w:rPr>
      </w:pPr>
      <w:r>
        <w:rPr>
          <w:rFonts w:ascii="Arial" w:hAnsi="Arial" w:cs="Arial"/>
          <w:b/>
        </w:rPr>
        <w:t xml:space="preserve">27.8. </w:t>
      </w:r>
      <w:r>
        <w:rPr>
          <w:rFonts w:ascii="Arial" w:hAnsi="Arial" w:cs="Arial"/>
        </w:rPr>
        <w:t xml:space="preserve">ANEXO VIII – </w:t>
      </w:r>
      <w:r>
        <w:rPr>
          <w:rFonts w:ascii="Arial" w:hAnsi="Arial" w:cs="Arial"/>
          <w:b/>
          <w:bCs/>
        </w:rPr>
        <w:t xml:space="preserve">ANEXO CHECKLIST – PROVA DE CONCEITO</w:t>
      </w:r>
      <w:r>
        <w:rPr>
          <w:rFonts w:ascii="Arial" w:hAnsi="Arial" w:cs="Arial"/>
          <w:b/>
          <w:bCs/>
        </w:rPr>
      </w:r>
    </w:p>
    <w:p w14:paraId="56250BCD" w14:textId="77777777">
      <w:pPr>
        <w:pBdr/>
        <w:spacing/>
        <w:ind w:left="284"/>
        <w:jc w:val="both"/>
        <w:rPr>
          <w:rFonts w:ascii="Arial" w:cs="Arial"/>
        </w:rPr>
      </w:pPr>
      <w:r>
        <w:rPr>
          <w:rFonts w:ascii="Arial" w:cs="Arial"/>
        </w:rPr>
      </w:r>
      <w:r>
        <w:rPr>
          <w:rFonts w:ascii="Arial" w:cs="Arial"/>
        </w:rPr>
      </w:r>
    </w:p>
    <w:p w14:paraId="6642ACBC" w14:textId="77777777">
      <w:pPr>
        <w:pBdr/>
        <w:spacing/>
        <w:ind w:left="284"/>
        <w:jc w:val="both"/>
        <w:rPr>
          <w:rFonts w:ascii="Arial" w:cs="Arial"/>
        </w:rPr>
      </w:pPr>
      <w:r>
        <w:rPr>
          <w:rFonts w:ascii="Arial" w:cs="Arial"/>
        </w:rPr>
      </w:r>
      <w:r>
        <w:rPr>
          <w:rFonts w:ascii="Arial" w:cs="Arial"/>
        </w:rPr>
      </w:r>
    </w:p>
    <w:p w14:paraId="26E98C67" w14:textId="77777777">
      <w:pPr>
        <w:pBdr/>
        <w:spacing/>
        <w:ind w:left="284"/>
        <w:jc w:val="both"/>
        <w:rPr>
          <w:rFonts w:ascii="Arial" w:cs="Arial"/>
        </w:rPr>
      </w:pPr>
      <w:r>
        <w:rPr>
          <w:rFonts w:ascii="Arial" w:cs="Arial"/>
        </w:rPr>
      </w:r>
      <w:r>
        <w:rPr>
          <w:rFonts w:ascii="Arial" w:cs="Arial"/>
        </w:rPr>
      </w:r>
    </w:p>
    <w:p w14:paraId="68BC18AB" w14:textId="006F2CC1">
      <w:pPr>
        <w:pBdr/>
        <w:spacing/>
        <w:ind/>
        <w:jc w:val="right"/>
        <w:rPr/>
      </w:pPr>
      <w:r>
        <w:rPr>
          <w:rFonts w:ascii="Arial" w:hAnsi="Arial" w:cs="Arial"/>
        </w:rPr>
        <w:t xml:space="preserve">Rondonópolis-MT, </w:t>
      </w:r>
      <w:r>
        <w:rPr>
          <w:rFonts w:ascii="Arial" w:hAnsi="Arial" w:cs="Arial"/>
        </w:rPr>
        <w:t xml:space="preserve">06</w:t>
      </w:r>
      <w:r>
        <w:rPr>
          <w:rFonts w:ascii="Arial" w:hAnsi="Arial" w:cs="Arial"/>
        </w:rPr>
        <w:t xml:space="preserve"> de</w:t>
      </w:r>
      <w:r>
        <w:rPr>
          <w:rFonts w:ascii="Arial" w:hAnsi="Arial" w:cs="Arial"/>
        </w:rPr>
        <w:t xml:space="preserve"> março</w:t>
      </w:r>
      <w:r>
        <w:rPr>
          <w:rFonts w:ascii="Arial" w:hAnsi="Arial" w:cs="Arial"/>
        </w:rPr>
        <w:t xml:space="preserve"> de 202</w:t>
      </w:r>
      <w:r>
        <w:rPr>
          <w:rFonts w:ascii="Arial" w:hAnsi="Arial" w:cs="Arial"/>
        </w:rPr>
        <w:t xml:space="preserve">6</w:t>
      </w:r>
      <w:r>
        <w:rPr>
          <w:rFonts w:ascii="Arial" w:hAnsi="Arial" w:cs="Arial"/>
        </w:rPr>
        <w:t xml:space="preserve">. </w:t>
      </w:r>
      <w:r/>
    </w:p>
    <w:p w14:paraId="130B3C61" w14:textId="77777777">
      <w:pPr>
        <w:pBdr/>
        <w:tabs>
          <w:tab w:val="right" w:leader="none" w:pos="9072"/>
        </w:tabs>
        <w:spacing/>
        <w:ind/>
        <w:jc w:val="center"/>
        <w:rPr>
          <w:rFonts w:ascii="Arial" w:cs="Arial"/>
          <w:b/>
        </w:rPr>
      </w:pPr>
      <w:r>
        <w:rPr>
          <w:rFonts w:ascii="Arial" w:cs="Arial"/>
          <w:b/>
        </w:rPr>
      </w:r>
      <w:r>
        <w:rPr>
          <w:rFonts w:ascii="Arial" w:cs="Arial"/>
          <w:b/>
        </w:rPr>
      </w:r>
    </w:p>
    <w:p w14:paraId="31180A10" w14:textId="77777777">
      <w:pPr>
        <w:pBdr/>
        <w:tabs>
          <w:tab w:val="right" w:leader="none" w:pos="9072"/>
        </w:tabs>
        <w:spacing/>
        <w:ind/>
        <w:jc w:val="center"/>
        <w:rPr>
          <w:rFonts w:ascii="Arial" w:cs="Arial"/>
          <w:b/>
        </w:rPr>
      </w:pPr>
      <w:r>
        <w:rPr>
          <w:rFonts w:ascii="Arial" w:cs="Arial"/>
          <w:b/>
        </w:rPr>
      </w:r>
      <w:r>
        <w:rPr>
          <w:rFonts w:ascii="Arial" w:cs="Arial"/>
          <w:b/>
        </w:rPr>
      </w:r>
    </w:p>
    <w:p w14:paraId="0246E3D4" w14:textId="77777777">
      <w:pPr>
        <w:pBdr/>
        <w:tabs>
          <w:tab w:val="right" w:leader="none" w:pos="9072"/>
        </w:tabs>
        <w:spacing/>
        <w:ind/>
        <w:jc w:val="center"/>
        <w:rPr>
          <w:rFonts w:ascii="Arial" w:cs="Arial"/>
          <w:b/>
        </w:rPr>
      </w:pPr>
      <w:r>
        <w:rPr>
          <w:rFonts w:ascii="Arial" w:cs="Arial"/>
          <w:b/>
        </w:rPr>
      </w:r>
      <w:r>
        <w:rPr>
          <w:rFonts w:ascii="Arial" w:cs="Arial"/>
          <w:b/>
        </w:rPr>
      </w:r>
    </w:p>
    <w:p w14:paraId="10A702D4" w14:textId="2BD7F045">
      <w:pPr>
        <w:pBdr/>
        <w:tabs>
          <w:tab w:val="right" w:leader="none" w:pos="9072"/>
        </w:tabs>
        <w:spacing/>
        <w:ind/>
        <w:jc w:val="center"/>
        <w:rPr/>
      </w:pPr>
      <w:r>
        <w:rPr>
          <w:rFonts w:ascii="Arial" w:hAnsi="Arial" w:cs="Arial"/>
          <w:b/>
        </w:rPr>
        <w:t xml:space="preserve">RAFAELLY PRISCILA REZENDE DE ALMEIDA </w:t>
      </w:r>
      <w:r>
        <w:rPr>
          <w:rFonts w:ascii="Arial" w:hAnsi="Arial" w:cs="Arial"/>
          <w:b/>
        </w:rPr>
        <w:br/>
      </w:r>
      <w:r>
        <w:rPr>
          <w:rFonts w:ascii="Arial" w:hAnsi="Arial" w:cs="Arial"/>
        </w:rPr>
        <w:t xml:space="preserve">Superintendente de Compras e Licitações</w:t>
      </w:r>
      <w:r/>
    </w:p>
    <w:p w14:paraId="722448D1" w14:textId="77777777">
      <w:pPr>
        <w:pBdr/>
        <w:tabs>
          <w:tab w:val="right" w:leader="none" w:pos="9072"/>
        </w:tabs>
        <w:spacing/>
        <w:ind/>
        <w:jc w:val="center"/>
        <w:rPr/>
      </w:pPr>
      <w:r>
        <w:rPr>
          <w:rFonts w:ascii="Arial" w:hAnsi="Arial" w:cs="Arial"/>
        </w:rPr>
        <w:t xml:space="preserve">Email: </w:t>
      </w:r>
      <w:hyperlink r:id="rId46" w:tooltip="mailto:pmrroo@hotmail.com" w:history="1">
        <w:r>
          <w:rPr>
            <w:rFonts w:ascii="Arial" w:hAnsi="Arial" w:cs="Arial"/>
            <w:b/>
            <w:color w:val="000000"/>
            <w:u w:val="single"/>
          </w:rPr>
          <w:t xml:space="preserve">pmrroo@hotmail.com</w:t>
        </w:r>
      </w:hyperlink>
      <w:r>
        <w:rPr>
          <w:rFonts w:ascii="Arial" w:hAnsi="Arial" w:cs="Arial"/>
          <w:b/>
        </w:rPr>
        <w:t xml:space="preserve"> </w:t>
      </w:r>
      <w:r/>
    </w:p>
    <w:p w14:paraId="750A76E7" w14:textId="77777777">
      <w:pPr>
        <w:pBdr/>
        <w:tabs>
          <w:tab w:val="right" w:leader="none" w:pos="9072"/>
        </w:tabs>
        <w:spacing/>
        <w:ind/>
        <w:jc w:val="center"/>
        <w:rPr>
          <w:rFonts w:ascii="Arial" w:cs="Arial"/>
          <w:b/>
        </w:rPr>
      </w:pPr>
      <w:r>
        <w:rPr>
          <w:rFonts w:ascii="Arial" w:cs="Arial"/>
          <w:b/>
        </w:rPr>
      </w:r>
      <w:r>
        <w:rPr>
          <w:rFonts w:ascii="Arial" w:cs="Arial"/>
          <w:b/>
        </w:rPr>
      </w:r>
    </w:p>
    <w:p w14:paraId="2D807B39" w14:textId="77777777">
      <w:pPr>
        <w:pBdr/>
        <w:tabs>
          <w:tab w:val="right" w:leader="none" w:pos="9072"/>
        </w:tabs>
        <w:spacing/>
        <w:ind/>
        <w:jc w:val="center"/>
        <w:rPr>
          <w:rFonts w:ascii="Arial" w:cs="Arial"/>
          <w:b/>
        </w:rPr>
      </w:pPr>
      <w:r>
        <w:rPr>
          <w:rFonts w:ascii="Arial" w:cs="Arial"/>
          <w:b/>
        </w:rPr>
        <w:br w:type="page" w:clear="all"/>
      </w:r>
      <w:r>
        <w:rPr>
          <w:rFonts w:ascii="Arial" w:cs="Arial"/>
          <w:b/>
        </w:rPr>
      </w:r>
    </w:p>
    <w:p w14:paraId="35040490" w14:textId="77777777">
      <w:pPr>
        <w:pBdr/>
        <w:tabs>
          <w:tab w:val="right" w:leader="none" w:pos="9072"/>
        </w:tabs>
        <w:spacing/>
        <w:ind/>
        <w:jc w:val="center"/>
        <w:rPr>
          <w:rFonts w:ascii="Arial" w:cs="Arial"/>
          <w:b/>
        </w:rPr>
      </w:pPr>
      <w:r>
        <w:rPr>
          <w:rFonts w:ascii="Arial" w:cs="Arial"/>
          <w:b/>
        </w:rPr>
      </w:r>
      <w:r>
        <w:rPr>
          <w:rFonts w:ascii="Arial" w:cs="Arial"/>
          <w:b/>
        </w:rPr>
      </w:r>
    </w:p>
    <w:p w14:paraId="1BA878FC" w14:textId="77777777">
      <w:pPr>
        <w:pBdr/>
        <w:spacing/>
        <w:ind/>
        <w:jc w:val="center"/>
        <w:rPr>
          <w:rFonts w:ascii="Arial" w:hAnsi="Arial" w:cs="Arial"/>
          <w:b/>
          <w:bCs/>
        </w:rPr>
      </w:pPr>
      <w:r>
        <w:rPr>
          <w:rFonts w:ascii="Arial" w:hAnsi="Arial" w:cs="Arial"/>
          <w:b/>
          <w:bCs/>
        </w:rPr>
        <w:t xml:space="preserve">TERMO DE REFERÊNCIA </w:t>
      </w:r>
      <w:r>
        <w:rPr>
          <w:rFonts w:ascii="Arial" w:hAnsi="Arial" w:cs="Arial"/>
          <w:b/>
          <w:bCs/>
        </w:rPr>
      </w:r>
    </w:p>
    <w:p w14:paraId="29361159" w14:textId="77777777">
      <w:pPr>
        <w:pStyle w:val="1391"/>
        <w:pBdr/>
        <w:shd w:val="clear" w:color="auto" w:fill="ffffff"/>
        <w:spacing/>
        <w:ind/>
        <w:rPr>
          <w:rFonts w:ascii="Arial" w:hAnsi="Arial"/>
          <w:sz w:val="20"/>
          <w:szCs w:val="20"/>
        </w:rPr>
      </w:pPr>
      <w:r>
        <w:rPr>
          <w:rFonts w:ascii="Arial" w:hAnsi="Arial"/>
          <w:b/>
          <w:bCs/>
          <w:sz w:val="20"/>
          <w:szCs w:val="20"/>
        </w:rPr>
        <w:t xml:space="preserve">UNIDADE REQUISITANTE:</w:t>
      </w:r>
      <w:r>
        <w:rPr>
          <w:rFonts w:ascii="Arial" w:hAnsi="Arial"/>
          <w:sz w:val="20"/>
          <w:szCs w:val="20"/>
        </w:rPr>
        <w:t xml:space="preserve"> SECRETARIA MUNICIPAL DE PROMOÇÃO E ASSISTÊNCIA SOCIAL</w:t>
      </w:r>
      <w:r>
        <w:rPr>
          <w:rFonts w:ascii="Arial" w:hAnsi="Arial"/>
          <w:sz w:val="20"/>
          <w:szCs w:val="20"/>
        </w:rPr>
      </w:r>
    </w:p>
    <w:p w14:paraId="1A4446D8" w14:textId="72A019E6">
      <w:pPr>
        <w:pStyle w:val="1391"/>
        <w:pBdr/>
        <w:shd w:val="clear" w:color="auto" w:fill="ffffff"/>
        <w:spacing/>
        <w:ind/>
        <w:rPr>
          <w:rFonts w:ascii="Arial" w:hAnsi="Arial"/>
          <w:sz w:val="20"/>
          <w:szCs w:val="20"/>
        </w:rPr>
      </w:pPr>
      <w:r>
        <w:rPr>
          <w:rFonts w:ascii="Arial" w:hAnsi="Arial"/>
          <w:b/>
          <w:bCs/>
          <w:sz w:val="20"/>
          <w:szCs w:val="20"/>
        </w:rPr>
        <w:t xml:space="preserve">RESPONSÁVEL PELA EMISSÃO</w:t>
      </w:r>
      <w:r>
        <w:rPr>
          <w:rFonts w:ascii="Arial" w:hAnsi="Arial"/>
          <w:sz w:val="20"/>
          <w:szCs w:val="20"/>
        </w:rPr>
        <w:t xml:space="preserve">:</w:t>
      </w:r>
      <w:r>
        <w:rPr>
          <w:rFonts w:ascii="Arial" w:hAnsi="Arial"/>
          <w:sz w:val="20"/>
          <w:szCs w:val="20"/>
        </w:rPr>
        <w:t xml:space="preserve"> </w:t>
      </w:r>
      <w:r>
        <w:rPr>
          <w:rFonts w:ascii="Arial" w:hAnsi="Arial"/>
          <w:sz w:val="20"/>
          <w:szCs w:val="20"/>
        </w:rPr>
        <w:t xml:space="preserve">Sra ALESSANDRA FERREIRA CRÓCO DE SOUZA</w:t>
      </w:r>
      <w:r>
        <w:rPr>
          <w:rFonts w:ascii="Arial" w:hAnsi="Arial"/>
          <w:sz w:val="20"/>
          <w:szCs w:val="20"/>
        </w:rPr>
      </w:r>
    </w:p>
    <w:p w14:paraId="485E9932" w14:textId="77777777">
      <w:pPr>
        <w:pBdr/>
        <w:spacing/>
        <w:ind/>
        <w:jc w:val="both"/>
        <w:rPr>
          <w:rFonts w:ascii="Arial" w:hAnsi="Arial" w:cs="Arial"/>
        </w:rPr>
      </w:pPr>
      <w:r>
        <w:rPr>
          <w:rFonts w:ascii="Arial" w:hAnsi="Arial" w:cs="Arial"/>
        </w:rPr>
      </w:r>
      <w:r>
        <w:rPr>
          <w:rFonts w:ascii="Arial" w:hAnsi="Arial" w:cs="Arial"/>
        </w:rPr>
      </w:r>
    </w:p>
    <w:p w14:paraId="7027ED00" w14:textId="77777777">
      <w:pPr>
        <w:pBdr>
          <w:top w:val="single" w:color="000000" w:sz="4" w:space="0"/>
          <w:left w:val="single" w:color="000000" w:sz="4" w:space="0"/>
          <w:bottom w:val="single" w:color="000000" w:sz="4" w:space="0"/>
          <w:right w:val="single" w:color="000000" w:sz="4" w:space="0"/>
        </w:pBdr>
        <w:shd w:val="clear" w:color="auto" w:fill="d7d7d7"/>
        <w:spacing/>
        <w:ind/>
        <w:jc w:val="center"/>
        <w:rPr>
          <w:rFonts w:ascii="Arial" w:hAnsi="Arial" w:cs="Arial"/>
          <w:b/>
          <w:bCs/>
        </w:rPr>
      </w:pPr>
      <w:r>
        <w:rPr>
          <w:rFonts w:ascii="Arial" w:hAnsi="Arial" w:cs="Arial"/>
          <w:b/>
          <w:bCs/>
        </w:rPr>
        <w:t xml:space="preserve">1. OBJETO E CONDIÇÕES GERAIS DA CONTRATAÇÃO</w:t>
      </w:r>
      <w:r>
        <w:rPr>
          <w:rFonts w:ascii="Arial" w:hAnsi="Arial" w:cs="Arial"/>
          <w:b/>
          <w:bCs/>
        </w:rPr>
      </w:r>
    </w:p>
    <w:p w14:paraId="46BC1109" w14:textId="77777777">
      <w:pPr>
        <w:pBdr/>
        <w:spacing w:line="360" w:lineRule="auto"/>
        <w:ind/>
        <w:jc w:val="both"/>
        <w:rPr>
          <w:rFonts w:ascii="Arial" w:hAnsi="Arial" w:cs="Arial"/>
        </w:rPr>
      </w:pPr>
      <w:r>
        <w:rPr>
          <w:rFonts w:ascii="Arial" w:hAnsi="Arial" w:cs="Arial"/>
        </w:rPr>
        <w:t xml:space="preserve">1.1. O presente Termo de Referência tem por objeto o Registro de Preços para futura e eventual contratação de empresa especializada na prestação de serviços de administração, gerenciamento e operacionalização de cartões </w:t>
      </w:r>
      <w:r>
        <w:rPr>
          <w:rFonts w:ascii="Arial" w:hAnsi="Arial" w:cs="Arial"/>
        </w:rPr>
        <w:t xml:space="preserve">magnéticos ou eletrônicos com tecnologia apropriada, destinados ao processamento, disponibilização e controle de créditos eletrônicos, bem como ao credenciamento, gestão e manutenção de rede de fornecedores aptos ao fornecimento dos itens vinculados ao Ben</w:t>
      </w:r>
      <w:r>
        <w:rPr>
          <w:rFonts w:ascii="Arial" w:hAnsi="Arial" w:cs="Arial"/>
        </w:rPr>
        <w:t xml:space="preserve">efício Eventual  Auxílio Natalidade, a ser concedido às famílias em situação de vulnerabilidade social atendidas pela Secretaria Municipal de Promoção e Assistência Social, conforme condições, especificações e quantitativos estabelecidos neste instrumento.</w:t>
      </w:r>
      <w:r>
        <w:rPr>
          <w:rFonts w:ascii="Arial" w:hAnsi="Arial" w:cs="Arial"/>
        </w:rPr>
      </w:r>
    </w:p>
    <w:p w14:paraId="37E65FCF" w14:textId="77777777">
      <w:pPr>
        <w:pBdr/>
        <w:spacing/>
        <w:ind/>
        <w:rPr>
          <w:rFonts w:ascii="Arial" w:hAnsi="Arial" w:cs="Arial"/>
        </w:rPr>
      </w:pPr>
      <w:r>
        <w:rPr>
          <w:rFonts w:ascii="Arial" w:hAnsi="Arial" w:cs="Arial"/>
        </w:rPr>
      </w:r>
      <w:r>
        <w:rPr>
          <w:rFonts w:ascii="Arial" w:hAnsi="Arial" w:cs="Arial"/>
        </w:rPr>
      </w:r>
    </w:p>
    <w:tbl>
      <w:tblPr>
        <w:tblInd w:w="-542" w:type="dxa"/>
        <w:tblW w:w="10661" w:type="dxa"/>
        <w:tblCellMar>
          <w:left w:w="55" w:type="dxa"/>
          <w:top w:w="55" w:type="dxa"/>
          <w:right w:w="55" w:type="dxa"/>
          <w:bottom w:w="55" w:type="dxa"/>
        </w:tblCellMar>
        <w:tblBorders/>
        <w:tblLayout w:type="fixed"/>
        <w:tblLook w:val="0000" w:firstRow="0" w:lastRow="0" w:firstColumn="0" w:lastColumn="0" w:noHBand="0" w:noVBand="0"/>
      </w:tblPr>
      <w:tblGrid>
        <w:gridCol w:w="660"/>
        <w:gridCol w:w="5259"/>
        <w:gridCol w:w="1173"/>
        <w:gridCol w:w="1219"/>
        <w:gridCol w:w="825"/>
        <w:gridCol w:w="1519"/>
        <w:gridCol w:w="6"/>
      </w:tblGrid>
      <w:tr>
        <w:trPr>
          <w:gridAfter w:val="1"/>
        </w:trPr>
        <w:tc>
          <w:tcPr>
            <w:shd w:val="clear" w:color="auto" w:fill="d7d7d7"/>
            <w:tcBorders>
              <w:top w:val="single" w:color="000000" w:sz="4" w:space="0"/>
              <w:left w:val="single" w:color="000000" w:sz="4" w:space="0"/>
              <w:bottom w:val="single" w:color="000000" w:sz="4" w:space="0"/>
            </w:tcBorders>
            <w:tcW w:w="660" w:type="dxa"/>
            <w:vAlign w:val="center"/>
            <w:textDirection w:val="lrTb"/>
            <w:noWrap w:val="false"/>
          </w:tcPr>
          <w:p w14:paraId="1BF6645D" w14:textId="77777777">
            <w:pPr>
              <w:pBdr/>
              <w:spacing/>
              <w:ind/>
              <w:jc w:val="center"/>
              <w:rPr>
                <w:rFonts w:ascii="Arial" w:hAnsi="Arial" w:cs="Arial"/>
              </w:rPr>
            </w:pPr>
            <w:r>
              <w:rPr>
                <w:rFonts w:ascii="Arial" w:hAnsi="Arial" w:cs="Arial"/>
              </w:rPr>
              <w:t xml:space="preserve">ITEM.</w:t>
            </w:r>
            <w:r>
              <w:rPr>
                <w:rFonts w:ascii="Arial" w:hAnsi="Arial" w:cs="Arial"/>
              </w:rPr>
            </w:r>
          </w:p>
        </w:tc>
        <w:tc>
          <w:tcPr>
            <w:shd w:val="clear" w:color="auto" w:fill="d7d7d7"/>
            <w:tcBorders>
              <w:top w:val="single" w:color="000000" w:sz="4" w:space="0"/>
              <w:left w:val="single" w:color="000000" w:sz="4" w:space="0"/>
              <w:bottom w:val="single" w:color="000000" w:sz="4" w:space="0"/>
            </w:tcBorders>
            <w:tcW w:w="5259" w:type="dxa"/>
            <w:vAlign w:val="center"/>
            <w:textDirection w:val="lrTb"/>
            <w:noWrap w:val="false"/>
          </w:tcPr>
          <w:p w14:paraId="19A6734E" w14:textId="77777777">
            <w:pPr>
              <w:pBdr/>
              <w:spacing/>
              <w:ind/>
              <w:jc w:val="center"/>
              <w:rPr>
                <w:rFonts w:ascii="Arial" w:hAnsi="Arial" w:cs="Arial"/>
              </w:rPr>
            </w:pPr>
            <w:r>
              <w:rPr>
                <w:rFonts w:ascii="Arial" w:hAnsi="Arial" w:cs="Arial"/>
              </w:rPr>
              <w:t xml:space="preserve">DESCRIÇÃO DO MATERIAL</w:t>
            </w:r>
            <w:r>
              <w:rPr>
                <w:rFonts w:ascii="Arial" w:hAnsi="Arial" w:cs="Arial"/>
              </w:rPr>
            </w:r>
          </w:p>
        </w:tc>
        <w:tc>
          <w:tcPr>
            <w:shd w:val="clear" w:color="auto" w:fill="d7d7d7"/>
            <w:tcBorders>
              <w:top w:val="single" w:color="000000" w:sz="4" w:space="0"/>
              <w:left w:val="single" w:color="000000" w:sz="4" w:space="0"/>
              <w:bottom w:val="single" w:color="000000" w:sz="4" w:space="0"/>
            </w:tcBorders>
            <w:tcW w:w="1173" w:type="dxa"/>
            <w:vAlign w:val="center"/>
            <w:textDirection w:val="lrTb"/>
            <w:noWrap w:val="false"/>
          </w:tcPr>
          <w:p w14:paraId="21A22A5D" w14:textId="77777777">
            <w:pPr>
              <w:pBdr/>
              <w:spacing/>
              <w:ind/>
              <w:jc w:val="center"/>
              <w:rPr>
                <w:rFonts w:ascii="Arial" w:hAnsi="Arial" w:cs="Arial"/>
              </w:rPr>
            </w:pPr>
            <w:r>
              <w:rPr>
                <w:rFonts w:ascii="Arial" w:hAnsi="Arial" w:cs="Arial"/>
              </w:rPr>
              <w:t xml:space="preserve">UNIDADE</w:t>
            </w:r>
            <w:r>
              <w:rPr>
                <w:rFonts w:ascii="Arial" w:hAnsi="Arial" w:cs="Arial"/>
              </w:rPr>
            </w:r>
          </w:p>
          <w:p w14:paraId="65400002" w14:textId="77777777">
            <w:pPr>
              <w:pBdr/>
              <w:spacing/>
              <w:ind/>
              <w:jc w:val="center"/>
              <w:rPr>
                <w:rFonts w:ascii="Arial" w:hAnsi="Arial" w:cs="Arial"/>
              </w:rPr>
            </w:pPr>
            <w:r>
              <w:rPr>
                <w:rFonts w:ascii="Arial" w:hAnsi="Arial" w:cs="Arial"/>
              </w:rPr>
              <w:t xml:space="preserve">DE MEDIDA</w:t>
            </w:r>
            <w:r>
              <w:rPr>
                <w:rFonts w:ascii="Arial" w:hAnsi="Arial" w:cs="Arial"/>
              </w:rPr>
            </w:r>
          </w:p>
        </w:tc>
        <w:tc>
          <w:tcPr>
            <w:shd w:val="clear" w:color="auto" w:fill="d7d7d7"/>
            <w:tcBorders>
              <w:top w:val="single" w:color="000000" w:sz="4" w:space="0"/>
              <w:left w:val="single" w:color="000000" w:sz="4" w:space="0"/>
              <w:bottom w:val="single" w:color="000000" w:sz="4" w:space="0"/>
            </w:tcBorders>
            <w:tcW w:w="1219" w:type="dxa"/>
            <w:vAlign w:val="center"/>
            <w:textDirection w:val="lrTb"/>
            <w:noWrap w:val="false"/>
          </w:tcPr>
          <w:p w14:paraId="634D3ED7" w14:textId="77777777">
            <w:pPr>
              <w:pBdr/>
              <w:spacing/>
              <w:ind/>
              <w:jc w:val="center"/>
              <w:rPr>
                <w:rFonts w:ascii="Arial" w:hAnsi="Arial" w:cs="Arial"/>
              </w:rPr>
            </w:pPr>
            <w:r>
              <w:rPr>
                <w:rFonts w:ascii="Arial" w:hAnsi="Arial" w:cs="Arial"/>
              </w:rPr>
              <w:t xml:space="preserve">ESTIMATIVA</w:t>
            </w:r>
            <w:r>
              <w:rPr>
                <w:rFonts w:ascii="Arial" w:hAnsi="Arial" w:cs="Arial"/>
              </w:rPr>
            </w:r>
          </w:p>
          <w:p w14:paraId="2570B073" w14:textId="77777777">
            <w:pPr>
              <w:pBdr/>
              <w:spacing/>
              <w:ind/>
              <w:jc w:val="center"/>
              <w:rPr>
                <w:rFonts w:ascii="Arial" w:hAnsi="Arial" w:cs="Arial"/>
              </w:rPr>
            </w:pPr>
            <w:r>
              <w:rPr>
                <w:rFonts w:ascii="Arial" w:hAnsi="Arial" w:cs="Arial"/>
              </w:rPr>
              <w:t xml:space="preserve">QUANTIDADE</w:t>
            </w:r>
            <w:r>
              <w:rPr>
                <w:rFonts w:ascii="Arial" w:hAnsi="Arial" w:cs="Arial"/>
              </w:rPr>
            </w:r>
          </w:p>
          <w:p w14:paraId="6F2DE64B" w14:textId="77777777">
            <w:pPr>
              <w:pBdr/>
              <w:spacing/>
              <w:ind/>
              <w:jc w:val="center"/>
              <w:rPr>
                <w:rFonts w:ascii="Arial" w:hAnsi="Arial" w:cs="Arial"/>
              </w:rPr>
            </w:pPr>
            <w:r>
              <w:rPr>
                <w:rFonts w:ascii="Arial" w:hAnsi="Arial" w:cs="Arial"/>
              </w:rPr>
              <w:t xml:space="preserve">ANUAL.</w:t>
            </w:r>
            <w:r>
              <w:rPr>
                <w:rFonts w:ascii="Arial" w:hAnsi="Arial" w:cs="Arial"/>
              </w:rPr>
            </w:r>
          </w:p>
        </w:tc>
        <w:tc>
          <w:tcPr>
            <w:shd w:val="clear" w:color="auto" w:fill="d7d7d7"/>
            <w:tcBorders>
              <w:top w:val="single" w:color="000000" w:sz="4" w:space="0"/>
              <w:left w:val="single" w:color="000000" w:sz="4" w:space="0"/>
              <w:bottom w:val="single" w:color="000000" w:sz="4" w:space="0"/>
            </w:tcBorders>
            <w:tcW w:w="825" w:type="dxa"/>
            <w:vAlign w:val="center"/>
            <w:textDirection w:val="lrTb"/>
            <w:noWrap w:val="false"/>
          </w:tcPr>
          <w:p w14:paraId="4EE8C621" w14:textId="77777777">
            <w:pPr>
              <w:pBdr/>
              <w:spacing/>
              <w:ind/>
              <w:jc w:val="center"/>
              <w:rPr>
                <w:rFonts w:ascii="Arial" w:hAnsi="Arial" w:cs="Arial"/>
              </w:rPr>
            </w:pPr>
            <w:r>
              <w:rPr>
                <w:rFonts w:ascii="Arial" w:hAnsi="Arial" w:cs="Arial"/>
              </w:rPr>
              <w:t xml:space="preserve">VALOR</w:t>
            </w:r>
            <w:r>
              <w:rPr>
                <w:rFonts w:ascii="Arial" w:hAnsi="Arial" w:cs="Arial"/>
              </w:rPr>
            </w:r>
          </w:p>
          <w:p w14:paraId="5305B5A1" w14:textId="77777777">
            <w:pPr>
              <w:pBdr/>
              <w:spacing/>
              <w:ind/>
              <w:jc w:val="center"/>
              <w:rPr>
                <w:rFonts w:ascii="Arial" w:hAnsi="Arial" w:cs="Arial"/>
              </w:rPr>
            </w:pPr>
            <w:r>
              <w:rPr>
                <w:rFonts w:ascii="Arial" w:hAnsi="Arial" w:cs="Arial"/>
              </w:rPr>
              <w:t xml:space="preserve">UNIT.</w:t>
            </w:r>
            <w:r>
              <w:rPr>
                <w:rFonts w:ascii="Arial" w:hAnsi="Arial" w:cs="Arial"/>
              </w:rPr>
            </w:r>
          </w:p>
        </w:tc>
        <w:tc>
          <w:tcPr>
            <w:shd w:val="clear" w:color="auto" w:fill="d7d7d7"/>
            <w:tcBorders>
              <w:top w:val="single" w:color="000000" w:sz="4" w:space="0"/>
              <w:left w:val="single" w:color="000000" w:sz="4" w:space="0"/>
              <w:bottom w:val="single" w:color="000000" w:sz="4" w:space="0"/>
              <w:right w:val="single" w:color="000000" w:sz="4" w:space="0"/>
            </w:tcBorders>
            <w:tcW w:w="1519" w:type="dxa"/>
            <w:vAlign w:val="center"/>
            <w:textDirection w:val="lrTb"/>
            <w:noWrap w:val="false"/>
          </w:tcPr>
          <w:p w14:paraId="1D15D2EF" w14:textId="77777777">
            <w:pPr>
              <w:pBdr/>
              <w:spacing/>
              <w:ind/>
              <w:jc w:val="center"/>
              <w:rPr>
                <w:rFonts w:ascii="Arial" w:hAnsi="Arial" w:cs="Arial"/>
              </w:rPr>
            </w:pPr>
            <w:r>
              <w:rPr>
                <w:rFonts w:ascii="Arial" w:hAnsi="Arial" w:cs="Arial"/>
              </w:rPr>
              <w:t xml:space="preserve">VALOR</w:t>
            </w:r>
            <w:r>
              <w:rPr>
                <w:rFonts w:ascii="Arial" w:hAnsi="Arial" w:cs="Arial"/>
              </w:rPr>
            </w:r>
          </w:p>
          <w:p w14:paraId="6949CE73" w14:textId="77777777">
            <w:pPr>
              <w:pBdr/>
              <w:spacing/>
              <w:ind/>
              <w:jc w:val="center"/>
              <w:rPr>
                <w:rFonts w:ascii="Arial" w:hAnsi="Arial" w:cs="Arial"/>
              </w:rPr>
            </w:pPr>
            <w:r>
              <w:rPr>
                <w:rFonts w:ascii="Arial" w:hAnsi="Arial" w:cs="Arial"/>
              </w:rPr>
              <w:t xml:space="preserve">TOTAL</w:t>
            </w:r>
            <w:r>
              <w:rPr>
                <w:rFonts w:ascii="Arial" w:hAnsi="Arial" w:cs="Arial"/>
              </w:rPr>
            </w:r>
          </w:p>
        </w:tc>
      </w:tr>
      <w:tr>
        <w:trPr>
          <w:gridAfter w:val="1"/>
        </w:trPr>
        <w:tc>
          <w:tcPr>
            <w:tcBorders>
              <w:left w:val="single" w:color="000000" w:sz="4" w:space="0"/>
              <w:bottom w:val="single" w:color="000000" w:sz="4" w:space="0"/>
            </w:tcBorders>
            <w:tcW w:w="660" w:type="dxa"/>
            <w:vAlign w:val="center"/>
            <w:textDirection w:val="lrTb"/>
            <w:noWrap w:val="false"/>
          </w:tcPr>
          <w:p w14:paraId="4716341D" w14:textId="77777777">
            <w:pPr>
              <w:pBdr/>
              <w:spacing/>
              <w:ind/>
              <w:rPr>
                <w:rFonts w:ascii="Arial" w:hAnsi="Arial" w:cs="Arial"/>
              </w:rPr>
            </w:pPr>
            <w:r>
              <w:rPr>
                <w:rFonts w:ascii="Arial" w:hAnsi="Arial" w:cs="Arial"/>
              </w:rPr>
              <w:t xml:space="preserve">1</w:t>
            </w:r>
            <w:r>
              <w:rPr>
                <w:rFonts w:ascii="Arial" w:hAnsi="Arial" w:cs="Arial"/>
              </w:rPr>
            </w:r>
          </w:p>
        </w:tc>
        <w:tc>
          <w:tcPr>
            <w:tcBorders>
              <w:left w:val="single" w:color="000000" w:sz="4" w:space="0"/>
              <w:bottom w:val="single" w:color="000000" w:sz="4" w:space="0"/>
            </w:tcBorders>
            <w:tcW w:w="5259" w:type="dxa"/>
            <w:vAlign w:val="center"/>
            <w:textDirection w:val="lrTb"/>
            <w:noWrap w:val="false"/>
          </w:tcPr>
          <w:p w14:paraId="6053041A" w14:textId="77777777">
            <w:pPr>
              <w:pBdr/>
              <w:spacing/>
              <w:ind/>
              <w:rPr>
                <w:rFonts w:ascii="Arial" w:hAnsi="Arial" w:cs="Arial"/>
              </w:rPr>
            </w:pPr>
            <w:r>
              <w:rPr>
                <w:rFonts w:ascii="Arial" w:hAnsi="Arial" w:cs="Arial"/>
              </w:rPr>
              <w:t xml:space="preserve">CONTRATAÇÃO DE EMPRESA ESPECIALIZADA EM SERVIÇOS DE ADMINISTRAÇÃO, GESTÃO DE SISTEMAS, EMISSÃO E FORNECIMENTO DE CARTÕES MAGNÉTICOS PERSONALIZADOS, COM PRO</w:t>
            </w:r>
            <w:r>
              <w:rPr>
                <w:rFonts w:ascii="Arial" w:hAnsi="Arial" w:cs="Arial"/>
              </w:rPr>
              <w:t xml:space="preserve">CESSAMENTO E CARGA DE CRÉDITOS ELETRÔNICOS, BEM COMO O CREDENCIAMENTO DE FORNECEDORES PARA ATENDIMENTO DOS BENEFÍCIOS EVENTUAIS REFERENTES AO AUXÍLIO NATALIDADE, DESTINADOS ÀS FAMÍLIAS ATENDIDAS PELA SECRETARIA MUNICIPAL DE ASSISTÊNCIA SOCIAL DO MUNICÍPIO.</w:t>
            </w:r>
            <w:r>
              <w:rPr>
                <w:rFonts w:ascii="Arial" w:hAnsi="Arial" w:cs="Arial"/>
              </w:rPr>
            </w:r>
          </w:p>
        </w:tc>
        <w:tc>
          <w:tcPr>
            <w:tcBorders>
              <w:left w:val="single" w:color="000000" w:sz="4" w:space="0"/>
              <w:bottom w:val="single" w:color="000000" w:sz="4" w:space="0"/>
            </w:tcBorders>
            <w:tcW w:w="1173" w:type="dxa"/>
            <w:vAlign w:val="center"/>
            <w:textDirection w:val="lrTb"/>
            <w:noWrap w:val="false"/>
          </w:tcPr>
          <w:p w14:paraId="6BD13E12" w14:textId="77777777">
            <w:pPr>
              <w:pBdr/>
              <w:spacing/>
              <w:ind/>
              <w:jc w:val="center"/>
              <w:rPr>
                <w:rFonts w:ascii="Arial" w:hAnsi="Arial" w:cs="Arial"/>
              </w:rPr>
            </w:pPr>
            <w:r>
              <w:rPr>
                <w:rFonts w:ascii="Arial" w:hAnsi="Arial" w:cs="Arial"/>
              </w:rPr>
              <w:t xml:space="preserve">UN</w:t>
            </w:r>
            <w:r>
              <w:rPr>
                <w:rFonts w:ascii="Arial" w:hAnsi="Arial" w:cs="Arial"/>
              </w:rPr>
            </w:r>
          </w:p>
        </w:tc>
        <w:tc>
          <w:tcPr>
            <w:tcBorders>
              <w:left w:val="single" w:color="000000" w:sz="4" w:space="0"/>
              <w:bottom w:val="single" w:color="000000" w:sz="4" w:space="0"/>
            </w:tcBorders>
            <w:tcW w:w="1219" w:type="dxa"/>
            <w:vAlign w:val="center"/>
            <w:textDirection w:val="lrTb"/>
            <w:noWrap w:val="false"/>
          </w:tcPr>
          <w:p w14:paraId="55473691" w14:textId="77777777">
            <w:pPr>
              <w:pBdr/>
              <w:spacing/>
              <w:ind/>
              <w:jc w:val="center"/>
              <w:rPr>
                <w:rFonts w:ascii="Arial" w:hAnsi="Arial" w:cs="Arial"/>
              </w:rPr>
            </w:pPr>
            <w:r>
              <w:rPr>
                <w:rFonts w:ascii="Arial" w:hAnsi="Arial" w:cs="Arial"/>
              </w:rPr>
              <w:t xml:space="preserve">3000</w:t>
            </w:r>
            <w:r>
              <w:rPr>
                <w:rFonts w:ascii="Arial" w:hAnsi="Arial" w:cs="Arial"/>
              </w:rPr>
            </w:r>
          </w:p>
        </w:tc>
        <w:tc>
          <w:tcPr>
            <w:tcBorders>
              <w:left w:val="single" w:color="000000" w:sz="4" w:space="0"/>
              <w:bottom w:val="single" w:color="000000" w:sz="4" w:space="0"/>
            </w:tcBorders>
            <w:tcW w:w="825" w:type="dxa"/>
            <w:vAlign w:val="center"/>
            <w:textDirection w:val="lrTb"/>
            <w:noWrap w:val="false"/>
          </w:tcPr>
          <w:p w14:paraId="28054699" w14:textId="77777777">
            <w:pPr>
              <w:pBdr/>
              <w:spacing/>
              <w:ind/>
              <w:rPr>
                <w:rFonts w:ascii="Arial" w:hAnsi="Arial" w:cs="Arial"/>
              </w:rPr>
            </w:pPr>
            <w:r>
              <w:rPr>
                <w:rFonts w:ascii="Arial" w:hAnsi="Arial" w:cs="Arial"/>
              </w:rPr>
              <w:t xml:space="preserve">R$ 750,00</w:t>
            </w:r>
            <w:r>
              <w:rPr>
                <w:rFonts w:ascii="Arial" w:hAnsi="Arial" w:cs="Arial"/>
              </w:rPr>
            </w:r>
          </w:p>
        </w:tc>
        <w:tc>
          <w:tcPr>
            <w:tcBorders>
              <w:left w:val="single" w:color="000000" w:sz="4" w:space="0"/>
              <w:bottom w:val="single" w:color="000000" w:sz="4" w:space="0"/>
              <w:right w:val="single" w:color="000000" w:sz="4" w:space="0"/>
            </w:tcBorders>
            <w:tcW w:w="1519" w:type="dxa"/>
            <w:vAlign w:val="center"/>
            <w:textDirection w:val="lrTb"/>
            <w:noWrap w:val="false"/>
          </w:tcPr>
          <w:p w14:paraId="6D7220F7" w14:textId="77777777">
            <w:pPr>
              <w:pBdr/>
              <w:spacing/>
              <w:ind/>
              <w:rPr>
                <w:rFonts w:ascii="Arial" w:hAnsi="Arial" w:cs="Arial"/>
              </w:rPr>
            </w:pPr>
            <w:r>
              <w:rPr>
                <w:rFonts w:ascii="Arial" w:hAnsi="Arial" w:cs="Arial"/>
              </w:rPr>
              <w:t xml:space="preserve"> R$ 2.250.000,00</w:t>
            </w:r>
            <w:r>
              <w:rPr>
                <w:rFonts w:ascii="Arial" w:hAnsi="Arial" w:cs="Arial"/>
              </w:rPr>
            </w:r>
          </w:p>
        </w:tc>
      </w:tr>
      <w:tr>
        <w:trPr>
          <w:gridAfter w:val="1"/>
        </w:trPr>
        <w:tc>
          <w:tcPr>
            <w:tcBorders>
              <w:left w:val="single" w:color="000000" w:sz="4" w:space="0"/>
              <w:bottom w:val="single" w:color="auto" w:sz="4" w:space="0"/>
            </w:tcBorders>
            <w:tcW w:w="660" w:type="dxa"/>
            <w:vAlign w:val="center"/>
            <w:textDirection w:val="lrTb"/>
            <w:noWrap w:val="false"/>
          </w:tcPr>
          <w:p w14:paraId="746E4E97" w14:textId="77777777">
            <w:pPr>
              <w:pBdr/>
              <w:spacing/>
              <w:ind/>
              <w:rPr>
                <w:rFonts w:ascii="Arial" w:hAnsi="Arial" w:cs="Arial"/>
              </w:rPr>
            </w:pPr>
            <w:r>
              <w:rPr>
                <w:rFonts w:ascii="Arial" w:hAnsi="Arial" w:cs="Arial"/>
              </w:rPr>
              <w:t xml:space="preserve">2</w:t>
            </w:r>
            <w:r>
              <w:rPr>
                <w:rFonts w:ascii="Arial" w:hAnsi="Arial" w:cs="Arial"/>
              </w:rPr>
            </w:r>
          </w:p>
        </w:tc>
        <w:tc>
          <w:tcPr>
            <w:tcBorders>
              <w:left w:val="single" w:color="000000" w:sz="4" w:space="0"/>
              <w:bottom w:val="single" w:color="auto" w:sz="4" w:space="0"/>
            </w:tcBorders>
            <w:tcW w:w="5259" w:type="dxa"/>
            <w:vAlign w:val="center"/>
            <w:textDirection w:val="lrTb"/>
            <w:noWrap w:val="false"/>
          </w:tcPr>
          <w:p w14:paraId="18F9B0BC" w14:textId="77777777">
            <w:pPr>
              <w:pBdr/>
              <w:spacing/>
              <w:ind/>
              <w:rPr>
                <w:rFonts w:ascii="Arial" w:hAnsi="Arial" w:cs="Arial"/>
              </w:rPr>
            </w:pPr>
            <w:r>
              <w:rPr>
                <w:rFonts w:ascii="Arial" w:hAnsi="Arial" w:cs="Arial"/>
              </w:rPr>
              <w:t xml:space="preserve">TAXA DE ADMINISTRAÇÃO PARA GERENCIAMENTO E CONTROLE DE CARTÕES MAGNÉTICOS</w:t>
            </w:r>
            <w:r>
              <w:rPr>
                <w:rFonts w:ascii="Arial" w:hAnsi="Arial" w:cs="Arial"/>
              </w:rPr>
            </w:r>
          </w:p>
        </w:tc>
        <w:tc>
          <w:tcPr>
            <w:tcBorders>
              <w:left w:val="single" w:color="000000" w:sz="4" w:space="0"/>
              <w:bottom w:val="single" w:color="auto" w:sz="4" w:space="0"/>
            </w:tcBorders>
            <w:tcW w:w="1173" w:type="dxa"/>
            <w:vAlign w:val="center"/>
            <w:textDirection w:val="lrTb"/>
            <w:noWrap w:val="false"/>
          </w:tcPr>
          <w:p w14:paraId="3DFDECFF" w14:textId="77777777">
            <w:pPr>
              <w:pBdr/>
              <w:spacing/>
              <w:ind/>
              <w:jc w:val="center"/>
              <w:rPr>
                <w:rFonts w:ascii="Arial" w:hAnsi="Arial" w:cs="Arial"/>
              </w:rPr>
            </w:pPr>
            <w:r>
              <w:rPr>
                <w:rFonts w:ascii="Arial" w:hAnsi="Arial" w:cs="Arial"/>
              </w:rPr>
              <w:t xml:space="preserve">UN</w:t>
            </w:r>
            <w:r>
              <w:rPr>
                <w:rFonts w:ascii="Arial" w:hAnsi="Arial" w:cs="Arial"/>
              </w:rPr>
            </w:r>
          </w:p>
        </w:tc>
        <w:tc>
          <w:tcPr>
            <w:tcBorders>
              <w:left w:val="single" w:color="000000" w:sz="4" w:space="0"/>
              <w:bottom w:val="single" w:color="auto" w:sz="4" w:space="0"/>
            </w:tcBorders>
            <w:tcW w:w="1219" w:type="dxa"/>
            <w:vAlign w:val="center"/>
            <w:textDirection w:val="lrTb"/>
            <w:noWrap w:val="false"/>
          </w:tcPr>
          <w:p w14:paraId="5179BE2A" w14:textId="77777777">
            <w:pPr>
              <w:pBdr/>
              <w:spacing/>
              <w:ind/>
              <w:jc w:val="center"/>
              <w:rPr>
                <w:rFonts w:ascii="Arial" w:hAnsi="Arial" w:cs="Arial"/>
              </w:rPr>
            </w:pPr>
            <w:r>
              <w:rPr>
                <w:rFonts w:ascii="Arial" w:hAnsi="Arial" w:cs="Arial"/>
              </w:rPr>
              <w:t xml:space="preserve">1</w:t>
            </w:r>
            <w:r>
              <w:rPr>
                <w:rFonts w:ascii="Arial" w:hAnsi="Arial" w:cs="Arial"/>
              </w:rPr>
            </w:r>
          </w:p>
        </w:tc>
        <w:tc>
          <w:tcPr>
            <w:tcBorders>
              <w:left w:val="single" w:color="000000" w:sz="4" w:space="0"/>
              <w:bottom w:val="single" w:color="auto" w:sz="4" w:space="0"/>
            </w:tcBorders>
            <w:tcW w:w="825" w:type="dxa"/>
            <w:vAlign w:val="center"/>
            <w:textDirection w:val="lrTb"/>
            <w:noWrap w:val="false"/>
          </w:tcPr>
          <w:p w14:paraId="46812EB1" w14:textId="77777777">
            <w:pPr>
              <w:pBdr/>
              <w:spacing/>
              <w:ind/>
              <w:rPr>
                <w:rFonts w:ascii="Arial" w:hAnsi="Arial" w:cs="Arial"/>
              </w:rPr>
            </w:pPr>
            <w:r>
              <w:rPr>
                <w:rFonts w:ascii="Arial" w:hAnsi="Arial" w:cs="Arial"/>
              </w:rPr>
              <w:t xml:space="preserve">3,00%</w:t>
            </w:r>
            <w:r>
              <w:rPr>
                <w:rFonts w:ascii="Arial" w:hAnsi="Arial" w:cs="Arial"/>
              </w:rPr>
            </w:r>
          </w:p>
        </w:tc>
        <w:tc>
          <w:tcPr>
            <w:tcBorders>
              <w:left w:val="single" w:color="000000" w:sz="4" w:space="0"/>
              <w:bottom w:val="single" w:color="auto" w:sz="4" w:space="0"/>
              <w:right w:val="single" w:color="000000" w:sz="4" w:space="0"/>
            </w:tcBorders>
            <w:tcW w:w="1519" w:type="dxa"/>
            <w:vAlign w:val="center"/>
            <w:textDirection w:val="lrTb"/>
            <w:noWrap w:val="false"/>
          </w:tcPr>
          <w:p w14:paraId="64E9298B" w14:textId="77777777">
            <w:pPr>
              <w:pBdr/>
              <w:spacing/>
              <w:ind/>
              <w:rPr>
                <w:rFonts w:ascii="Arial" w:hAnsi="Arial" w:cs="Arial"/>
              </w:rPr>
            </w:pPr>
            <w:r>
              <w:rPr>
                <w:rFonts w:ascii="Arial" w:hAnsi="Arial" w:cs="Arial"/>
              </w:rPr>
              <w:t xml:space="preserve">R$ 67.500,00</w:t>
            </w:r>
            <w:r>
              <w:rPr>
                <w:rFonts w:ascii="Arial" w:hAnsi="Arial" w:cs="Arial"/>
              </w:rPr>
            </w:r>
          </w:p>
        </w:tc>
      </w:tr>
      <w:tr>
        <w:trPr/>
        <w:tc>
          <w:tcPr>
            <w:gridSpan w:val="7"/>
            <w:tcBorders>
              <w:top w:val="single" w:color="auto" w:sz="4" w:space="0"/>
              <w:left w:val="single" w:color="auto" w:sz="4" w:space="0"/>
              <w:bottom w:val="single" w:color="auto" w:sz="4" w:space="0"/>
              <w:right w:val="single" w:color="auto" w:sz="4" w:space="0"/>
            </w:tcBorders>
            <w:tcW w:w="10661" w:type="dxa"/>
            <w:textDirection w:val="lrTb"/>
            <w:noWrap w:val="false"/>
          </w:tcPr>
          <w:p w14:paraId="2DE7EED2" w14:textId="77777777">
            <w:pPr>
              <w:pBdr/>
              <w:spacing/>
              <w:ind/>
              <w:rPr>
                <w:rFonts w:ascii="Arial" w:hAnsi="Arial" w:cs="Arial"/>
              </w:rPr>
            </w:pPr>
            <w:r>
              <w:rPr>
                <w:rFonts w:ascii="Arial" w:hAnsi="Arial" w:cs="Arial"/>
              </w:rPr>
              <w:t xml:space="preserve">PERCENTUAL DA DISPUTA DE  0% até 3,00% </w:t>
            </w:r>
            <w:r>
              <w:rPr>
                <w:rFonts w:ascii="Arial" w:hAnsi="Arial" w:cs="Arial"/>
              </w:rPr>
            </w:r>
          </w:p>
        </w:tc>
      </w:tr>
      <w:tr>
        <w:trPr/>
        <w:tc>
          <w:tcPr>
            <w:gridSpan w:val="7"/>
            <w:tcBorders>
              <w:top w:val="single" w:color="auto" w:sz="4" w:space="0"/>
              <w:left w:val="single" w:color="000000" w:sz="4" w:space="0"/>
              <w:bottom w:val="single" w:color="000000" w:sz="4" w:space="0"/>
              <w:right w:val="single" w:color="000000" w:sz="4" w:space="0"/>
            </w:tcBorders>
            <w:tcW w:w="10661" w:type="dxa"/>
            <w:vAlign w:val="center"/>
            <w:textDirection w:val="lrTb"/>
            <w:noWrap w:val="false"/>
          </w:tcPr>
          <w:p w14:paraId="0D8C43A9" w14:textId="77777777">
            <w:pPr>
              <w:pBdr/>
              <w:spacing/>
              <w:ind/>
              <w:jc w:val="right"/>
              <w:rPr>
                <w:rFonts w:ascii="Arial" w:hAnsi="Arial" w:cs="Arial"/>
                <w:b/>
                <w:bCs/>
              </w:rPr>
            </w:pPr>
            <w:r>
              <w:rPr>
                <w:rFonts w:ascii="Arial" w:hAnsi="Arial" w:cs="Arial"/>
                <w:b/>
                <w:bCs/>
              </w:rPr>
              <w:t xml:space="preserve">R$  2.317.500,00</w:t>
            </w:r>
            <w:r>
              <w:rPr>
                <w:rFonts w:ascii="Arial" w:hAnsi="Arial" w:cs="Arial"/>
                <w:b/>
                <w:bCs/>
              </w:rPr>
            </w:r>
          </w:p>
        </w:tc>
      </w:tr>
    </w:tbl>
    <w:p w14:paraId="7C2F7FFD" w14:textId="77777777">
      <w:pPr>
        <w:pBdr/>
        <w:spacing/>
        <w:ind/>
        <w:rPr>
          <w:rFonts w:ascii="Arial" w:hAnsi="Arial" w:cs="Arial"/>
          <w:b/>
          <w:bCs/>
        </w:rPr>
      </w:pPr>
      <w:r>
        <w:rPr>
          <w:rFonts w:ascii="Arial" w:hAnsi="Arial" w:cs="Arial"/>
          <w:b/>
          <w:bCs/>
        </w:rPr>
      </w:r>
      <w:r>
        <w:rPr>
          <w:rFonts w:ascii="Arial" w:hAnsi="Arial" w:cs="Arial"/>
          <w:b/>
          <w:bCs/>
        </w:rPr>
      </w:r>
    </w:p>
    <w:p w14:paraId="5B299EF0" w14:textId="0F7DD424">
      <w:pPr>
        <w:pBdr/>
        <w:spacing/>
        <w:ind/>
        <w:rPr>
          <w:rFonts w:ascii="Arial" w:hAnsi="Arial" w:cs="Arial"/>
        </w:rPr>
      </w:pPr>
      <w:r>
        <w:rPr>
          <w:rFonts w:ascii="Arial" w:hAnsi="Arial" w:cs="Arial"/>
        </w:rPr>
        <w:t xml:space="preserve">Os valores estimados da taxa de administração não serão descontados dos valores estimados para os itens do gerenciamento, mantendo a integralidade dos valores estimados.</w:t>
      </w:r>
      <w:r>
        <w:rPr>
          <w:rFonts w:ascii="Arial" w:hAnsi="Arial" w:cs="Arial"/>
        </w:rPr>
      </w:r>
    </w:p>
    <w:p w14:paraId="455CFEBD" w14:textId="77777777">
      <w:pPr>
        <w:pBdr/>
        <w:spacing/>
        <w:ind/>
        <w:rPr>
          <w:rFonts w:ascii="Arial" w:hAnsi="Arial" w:cs="Arial"/>
          <w:b/>
          <w:bCs/>
        </w:rPr>
      </w:pPr>
      <w:r>
        <w:rPr>
          <w:rFonts w:ascii="Arial" w:hAnsi="Arial" w:cs="Arial"/>
          <w:b/>
          <w:bCs/>
        </w:rPr>
      </w:r>
      <w:r>
        <w:rPr>
          <w:rFonts w:ascii="Arial" w:hAnsi="Arial" w:cs="Arial"/>
          <w:b/>
          <w:bCs/>
        </w:rPr>
      </w:r>
    </w:p>
    <w:p w14:paraId="4A716612" w14:textId="454DF7D6">
      <w:pPr>
        <w:pBdr/>
        <w:spacing/>
        <w:ind/>
        <w:rPr>
          <w:rFonts w:ascii="Arial" w:hAnsi="Arial" w:cs="Arial"/>
          <w:b/>
          <w:bCs/>
        </w:rPr>
      </w:pPr>
      <w:r>
        <w:rPr>
          <w:rFonts w:ascii="Arial" w:hAnsi="Arial" w:cs="Arial"/>
          <w:b/>
          <w:bCs/>
        </w:rPr>
        <w:t xml:space="preserve">OBS: TAXA ÚNICA</w:t>
      </w:r>
      <w:r>
        <w:rPr>
          <w:rFonts w:ascii="Arial" w:hAnsi="Arial" w:cs="Arial"/>
          <w:b/>
          <w:bCs/>
        </w:rPr>
      </w:r>
    </w:p>
    <w:p w14:paraId="7B65A64A" w14:textId="77777777">
      <w:pPr>
        <w:pBdr/>
        <w:spacing w:line="360" w:lineRule="auto"/>
        <w:ind/>
        <w:jc w:val="both"/>
        <w:rPr>
          <w:rFonts w:ascii="Arial" w:hAnsi="Arial" w:cs="Arial"/>
        </w:rPr>
      </w:pPr>
      <w:r>
        <w:rPr>
          <w:rFonts w:ascii="Arial" w:hAnsi="Arial" w:cs="Arial"/>
        </w:rPr>
      </w:r>
      <w:r>
        <w:rPr>
          <w:rFonts w:ascii="Arial" w:hAnsi="Arial" w:cs="Arial"/>
        </w:rPr>
      </w:r>
    </w:p>
    <w:p w14:paraId="05A9585A" w14:textId="77777777">
      <w:pPr>
        <w:pBdr/>
        <w:spacing w:line="360" w:lineRule="auto"/>
        <w:ind/>
        <w:jc w:val="both"/>
        <w:rPr>
          <w:rFonts w:ascii="Arial" w:hAnsi="Arial" w:cs="Arial"/>
        </w:rPr>
      </w:pPr>
      <w:r>
        <w:rPr>
          <w:rFonts w:ascii="Arial" w:hAnsi="Arial" w:cs="Arial"/>
        </w:rPr>
        <w:t xml:space="preserve">1.2. Da Natureza do Objeto e Fundamentação Legal</w:t>
      </w:r>
      <w:r>
        <w:rPr>
          <w:rFonts w:ascii="Arial" w:hAnsi="Arial" w:cs="Arial"/>
        </w:rPr>
      </w:r>
    </w:p>
    <w:p w14:paraId="4CAF24B9" w14:textId="77777777">
      <w:pPr>
        <w:pBdr/>
        <w:spacing w:line="360" w:lineRule="auto"/>
        <w:ind/>
        <w:jc w:val="both"/>
        <w:rPr>
          <w:rFonts w:ascii="Arial" w:hAnsi="Arial" w:cs="Arial"/>
        </w:rPr>
      </w:pPr>
      <w:r>
        <w:rPr>
          <w:rFonts w:ascii="Arial" w:hAnsi="Arial" w:cs="Arial"/>
        </w:rPr>
        <w:t xml:space="preserve">1.2.1. Trata-se de ser</w:t>
      </w:r>
      <w:r>
        <w:rPr>
          <w:rFonts w:ascii="Arial" w:hAnsi="Arial" w:cs="Arial"/>
        </w:rPr>
        <w:t xml:space="preserve">viço comum, cujos padrões de desempenho e qualidade podem ser objetivamente definidos por meio de especificações usuais de mercado, nos termos do art. 6º, inciso XIII, da Lei nº 14.133/2021, sendo cabível a adoção da modalidade Pregão, na forma eletrônica.</w:t>
      </w:r>
      <w:r>
        <w:rPr>
          <w:rFonts w:ascii="Arial" w:hAnsi="Arial" w:cs="Arial"/>
        </w:rPr>
      </w:r>
    </w:p>
    <w:p w14:paraId="7620B79A" w14:textId="77777777">
      <w:pPr>
        <w:pBdr/>
        <w:spacing w:line="360" w:lineRule="auto"/>
        <w:ind/>
        <w:jc w:val="both"/>
        <w:rPr>
          <w:rFonts w:ascii="Arial" w:hAnsi="Arial" w:cs="Arial"/>
        </w:rPr>
      </w:pPr>
      <w:r>
        <w:rPr>
          <w:rFonts w:ascii="Arial" w:hAnsi="Arial" w:cs="Arial"/>
        </w:rPr>
        <w:t xml:space="preserve">1.2.2. A contratação destina-se à execução de política pública de assistência social voltada à proteção à maternidade e à infância, possuindo natureza essencial e relevante interesse público, não configurando despesa supérflua ou de luxo.</w:t>
      </w:r>
      <w:r>
        <w:rPr>
          <w:rFonts w:ascii="Arial" w:hAnsi="Arial" w:cs="Arial"/>
        </w:rPr>
      </w:r>
    </w:p>
    <w:p w14:paraId="60308C73" w14:textId="77777777">
      <w:pPr>
        <w:pBdr/>
        <w:spacing w:line="360" w:lineRule="auto"/>
        <w:ind/>
        <w:jc w:val="both"/>
        <w:rPr>
          <w:rFonts w:ascii="Arial" w:hAnsi="Arial" w:cs="Arial"/>
        </w:rPr>
      </w:pPr>
      <w:r>
        <w:rPr>
          <w:rFonts w:ascii="Arial" w:hAnsi="Arial" w:cs="Arial"/>
        </w:rPr>
        <w:t xml:space="preserve">1.2.3. A modelagem por Sistema de Registro de Preços encontra fundamento no art. 82 da Lei nº 14.133/2021, em razão da natureza variável da demanda e da impossibilidade de definição prévia e exata dos quantitativos a serem utilizados ao longo do exercício.</w:t>
      </w:r>
      <w:r>
        <w:rPr>
          <w:rFonts w:ascii="Arial" w:hAnsi="Arial" w:cs="Arial"/>
        </w:rPr>
      </w:r>
    </w:p>
    <w:p w14:paraId="4188FB35" w14:textId="77777777">
      <w:pPr>
        <w:pBdr/>
        <w:spacing w:line="360" w:lineRule="auto"/>
        <w:ind/>
        <w:jc w:val="both"/>
        <w:rPr>
          <w:rFonts w:ascii="Arial" w:hAnsi="Arial" w:cs="Arial"/>
        </w:rPr>
      </w:pPr>
      <w:r>
        <w:rPr>
          <w:rFonts w:ascii="Arial" w:hAnsi="Arial" w:cs="Arial"/>
        </w:rPr>
        <w:t xml:space="preserve">1.3. Da Forma de Execução</w:t>
      </w:r>
      <w:r>
        <w:rPr>
          <w:rFonts w:ascii="Arial" w:hAnsi="Arial" w:cs="Arial"/>
        </w:rPr>
      </w:r>
    </w:p>
    <w:p w14:paraId="3F19FB84" w14:textId="77777777">
      <w:pPr>
        <w:pBdr/>
        <w:spacing w:line="360" w:lineRule="auto"/>
        <w:ind/>
        <w:jc w:val="both"/>
        <w:rPr>
          <w:rFonts w:ascii="Arial" w:hAnsi="Arial" w:cs="Arial"/>
        </w:rPr>
      </w:pPr>
      <w:r>
        <w:rPr>
          <w:rFonts w:ascii="Arial" w:hAnsi="Arial" w:cs="Arial"/>
        </w:rPr>
        <w:t xml:space="preserve">1.3.1. A contratação decorrente da Ata ocorrerá de forma parcelada e sob demanda, mediante emissão de Ordem de Fornecimento ou instrumento equivalente.</w:t>
      </w:r>
      <w:r>
        <w:rPr>
          <w:rFonts w:ascii="Arial" w:hAnsi="Arial" w:cs="Arial"/>
        </w:rPr>
      </w:r>
    </w:p>
    <w:p w14:paraId="62D2D9EE" w14:textId="77777777">
      <w:pPr>
        <w:pBdr/>
        <w:spacing w:line="360" w:lineRule="auto"/>
        <w:ind/>
        <w:jc w:val="both"/>
        <w:rPr>
          <w:rFonts w:ascii="Arial" w:hAnsi="Arial" w:cs="Arial"/>
        </w:rPr>
      </w:pPr>
      <w:r>
        <w:rPr>
          <w:rFonts w:ascii="Arial" w:hAnsi="Arial" w:cs="Arial"/>
        </w:rPr>
        <w:t xml:space="preserve">1.3.2. Os quantitativos indicados possuem caráter meramente estimativo, não constituindo obrigação de contratação integral por parte da Administração, em conformidade com a sistemática do Sistema de Registro de Preços.</w:t>
      </w:r>
      <w:r>
        <w:rPr>
          <w:rFonts w:ascii="Arial" w:hAnsi="Arial" w:cs="Arial"/>
        </w:rPr>
      </w:r>
    </w:p>
    <w:p w14:paraId="4DFF7DA4" w14:textId="77777777">
      <w:pPr>
        <w:pBdr/>
        <w:spacing w:line="360" w:lineRule="auto"/>
        <w:ind/>
        <w:jc w:val="both"/>
        <w:rPr>
          <w:rFonts w:ascii="Arial" w:hAnsi="Arial" w:cs="Arial"/>
        </w:rPr>
      </w:pPr>
      <w:r>
        <w:rPr>
          <w:rFonts w:ascii="Arial" w:hAnsi="Arial" w:cs="Arial"/>
        </w:rPr>
        <w:t xml:space="preserve">1.3.3. Não haverá garantia de consumo mínimo à contratada.</w:t>
      </w:r>
      <w:r>
        <w:rPr>
          <w:rFonts w:ascii="Arial" w:hAnsi="Arial" w:cs="Arial"/>
        </w:rPr>
      </w:r>
    </w:p>
    <w:p w14:paraId="5D83D1EC" w14:textId="77777777">
      <w:pPr>
        <w:pBdr/>
        <w:spacing w:line="360" w:lineRule="auto"/>
        <w:ind/>
        <w:jc w:val="both"/>
        <w:rPr>
          <w:rFonts w:ascii="Arial" w:hAnsi="Arial" w:cs="Arial"/>
        </w:rPr>
      </w:pPr>
      <w:r>
        <w:rPr>
          <w:rFonts w:ascii="Arial" w:hAnsi="Arial" w:cs="Arial"/>
        </w:rPr>
        <w:t xml:space="preserve">1.4. Da Estimativa de Valor</w:t>
      </w:r>
      <w:r>
        <w:rPr>
          <w:rFonts w:ascii="Arial" w:hAnsi="Arial" w:cs="Arial"/>
        </w:rPr>
      </w:r>
    </w:p>
    <w:p w14:paraId="2519204E" w14:textId="77777777">
      <w:pPr>
        <w:pBdr/>
        <w:spacing w:line="360" w:lineRule="auto"/>
        <w:ind/>
        <w:jc w:val="both"/>
        <w:rPr>
          <w:rFonts w:ascii="Arial" w:hAnsi="Arial" w:cs="Arial"/>
        </w:rPr>
      </w:pPr>
      <w:r>
        <w:rPr>
          <w:rFonts w:ascii="Arial" w:hAnsi="Arial" w:cs="Arial"/>
        </w:rPr>
        <w:t xml:space="preserve">1.4.1. O custo estimado total da contratação é de R$ 2.317.500,00 (dois milhões, trezentos e dezessete mil e quinhentos reais), apurado com base em pesquisa de preços consolidada em mapa comparativo, nos termos do art. 23 da Lei nº 14.133/2021.</w:t>
      </w:r>
      <w:r>
        <w:rPr>
          <w:rFonts w:ascii="Arial" w:hAnsi="Arial" w:cs="Arial"/>
        </w:rPr>
      </w:r>
    </w:p>
    <w:p w14:paraId="4FF91472" w14:textId="77777777">
      <w:pPr>
        <w:pBdr/>
        <w:spacing w:line="360" w:lineRule="auto"/>
        <w:ind/>
        <w:jc w:val="both"/>
        <w:rPr>
          <w:rFonts w:ascii="Arial" w:hAnsi="Arial" w:cs="Arial"/>
        </w:rPr>
      </w:pPr>
      <w:r>
        <w:rPr>
          <w:rFonts w:ascii="Arial" w:hAnsi="Arial" w:cs="Arial"/>
        </w:rPr>
        <w:t xml:space="preserve">1.4.2. O valor estimado não configura obrigação de contratação integral, constituindo apenas parâmetro para fins de planejamento e seleção da proposta mais vantajosa.</w:t>
      </w:r>
      <w:r>
        <w:rPr>
          <w:rFonts w:ascii="Arial" w:hAnsi="Arial" w:cs="Arial"/>
        </w:rPr>
      </w:r>
    </w:p>
    <w:p w14:paraId="21923787" w14:textId="77777777">
      <w:pPr>
        <w:pBdr/>
        <w:spacing w:line="360" w:lineRule="auto"/>
        <w:ind/>
        <w:jc w:val="both"/>
        <w:rPr>
          <w:rFonts w:ascii="Arial" w:hAnsi="Arial" w:cs="Arial"/>
        </w:rPr>
      </w:pPr>
      <w:r>
        <w:rPr>
          <w:rFonts w:ascii="Arial" w:hAnsi="Arial" w:cs="Arial"/>
        </w:rPr>
        <w:t xml:space="preserve">1.5. Da Vigência da Ata de Registro de Preços</w:t>
      </w:r>
      <w:r>
        <w:rPr>
          <w:rFonts w:ascii="Arial" w:hAnsi="Arial" w:cs="Arial"/>
        </w:rPr>
      </w:r>
    </w:p>
    <w:p w14:paraId="0168EEEB" w14:textId="77777777">
      <w:pPr>
        <w:pBdr/>
        <w:spacing w:line="360" w:lineRule="auto"/>
        <w:ind/>
        <w:jc w:val="both"/>
        <w:rPr>
          <w:rFonts w:ascii="Arial" w:hAnsi="Arial" w:cs="Arial"/>
        </w:rPr>
      </w:pPr>
      <w:r>
        <w:rPr>
          <w:rFonts w:ascii="Arial" w:hAnsi="Arial" w:cs="Arial"/>
        </w:rPr>
        <w:t xml:space="preserve">1.5.1. A Ata de Registro de Preços terá vigência de 12 (doze) meses, contados da data de sua assinatura.</w:t>
      </w:r>
      <w:r>
        <w:rPr>
          <w:rFonts w:ascii="Arial" w:hAnsi="Arial" w:cs="Arial"/>
        </w:rPr>
      </w:r>
    </w:p>
    <w:p w14:paraId="31A25BAE" w14:textId="77777777">
      <w:pPr>
        <w:pBdr/>
        <w:spacing w:line="360" w:lineRule="auto"/>
        <w:ind/>
        <w:jc w:val="both"/>
        <w:rPr>
          <w:rFonts w:ascii="Arial" w:hAnsi="Arial" w:cs="Arial"/>
        </w:rPr>
      </w:pPr>
      <w:r>
        <w:rPr>
          <w:rFonts w:ascii="Arial" w:hAnsi="Arial" w:cs="Arial"/>
        </w:rPr>
        <w:t xml:space="preserve">1.5.2. A Ata poderá ser prorrogada, uma única vez, por igual período, desde que demonstrada a vantajosidade para a Administração, nos termos do art. 84 da Lei nº 14.133/2021 e da regulamentação municipal aplicável.</w:t>
      </w:r>
      <w:r>
        <w:rPr>
          <w:rFonts w:ascii="Arial" w:hAnsi="Arial" w:cs="Arial"/>
        </w:rPr>
      </w:r>
    </w:p>
    <w:p w14:paraId="3CA3DF6E" w14:textId="77777777">
      <w:pPr>
        <w:pBdr/>
        <w:spacing w:line="360" w:lineRule="auto"/>
        <w:ind/>
        <w:jc w:val="both"/>
        <w:rPr>
          <w:rFonts w:ascii="Arial" w:hAnsi="Arial" w:cs="Arial"/>
        </w:rPr>
      </w:pPr>
      <w:r>
        <w:rPr>
          <w:rFonts w:ascii="Arial" w:hAnsi="Arial" w:cs="Arial"/>
        </w:rPr>
        <w:t xml:space="preserve">1.6. Da Vigência dos Contratos Decorrentes</w:t>
      </w:r>
      <w:r>
        <w:rPr>
          <w:rFonts w:ascii="Arial" w:hAnsi="Arial" w:cs="Arial"/>
        </w:rPr>
      </w:r>
    </w:p>
    <w:p w14:paraId="75BF4D4C" w14:textId="77777777">
      <w:pPr>
        <w:pBdr/>
        <w:spacing w:line="360" w:lineRule="auto"/>
        <w:ind/>
        <w:jc w:val="both"/>
        <w:rPr>
          <w:rFonts w:ascii="Arial" w:hAnsi="Arial" w:cs="Arial"/>
        </w:rPr>
      </w:pPr>
      <w:r>
        <w:rPr>
          <w:rFonts w:ascii="Arial" w:hAnsi="Arial" w:cs="Arial"/>
        </w:rPr>
        <w:t xml:space="preserve">1.6.1. Os contratos decorrentes da Ata terão vigência inicial de 12 (doze) meses, contados da data de sua assinatura.</w:t>
      </w:r>
      <w:r>
        <w:rPr>
          <w:rFonts w:ascii="Arial" w:hAnsi="Arial" w:cs="Arial"/>
        </w:rPr>
      </w:r>
    </w:p>
    <w:p w14:paraId="470545F5" w14:textId="77777777">
      <w:pPr>
        <w:pBdr/>
        <w:spacing w:line="360" w:lineRule="auto"/>
        <w:ind/>
        <w:jc w:val="both"/>
        <w:rPr>
          <w:rFonts w:ascii="Arial" w:hAnsi="Arial" w:cs="Arial"/>
        </w:rPr>
      </w:pPr>
      <w:r>
        <w:rPr>
          <w:rFonts w:ascii="Arial" w:hAnsi="Arial" w:cs="Arial"/>
        </w:rPr>
        <w:t xml:space="preserve">1.6.2. Poderão ser prorrogados nos termos dos arts. 106 e 107 da Lei nº 14.133/2021, mediante demonstração de interesse público, manutenção das condições de habilitação e comprovação da vantajosidade.</w:t>
      </w:r>
      <w:r>
        <w:rPr>
          <w:rFonts w:ascii="Arial" w:hAnsi="Arial" w:cs="Arial"/>
        </w:rPr>
      </w:r>
    </w:p>
    <w:p w14:paraId="3059B0D4" w14:textId="77777777">
      <w:pPr>
        <w:pBdr/>
        <w:spacing w:line="360" w:lineRule="auto"/>
        <w:ind/>
        <w:jc w:val="both"/>
        <w:rPr>
          <w:rFonts w:ascii="Arial" w:hAnsi="Arial" w:cs="Arial"/>
        </w:rPr>
      </w:pPr>
      <w:r>
        <w:rPr>
          <w:rFonts w:ascii="Arial" w:hAnsi="Arial" w:cs="Arial"/>
        </w:rPr>
        <w:t xml:space="preserve">1.6.3. A execução contratual terá início com a emissão da Ordem de Fornecimento, que constituirá marco formal para início da prestação dos serviços.</w:t>
      </w:r>
      <w:r>
        <w:rPr>
          <w:rFonts w:ascii="Arial" w:hAnsi="Arial" w:cs="Arial"/>
        </w:rPr>
      </w:r>
    </w:p>
    <w:p w14:paraId="7BE19346" w14:textId="77777777">
      <w:pPr>
        <w:pBdr/>
        <w:spacing w:line="360" w:lineRule="auto"/>
        <w:ind/>
        <w:jc w:val="both"/>
        <w:rPr>
          <w:rFonts w:ascii="Arial" w:hAnsi="Arial" w:cs="Arial"/>
        </w:rPr>
      </w:pPr>
      <w:r>
        <w:rPr>
          <w:rFonts w:ascii="Arial" w:hAnsi="Arial" w:cs="Arial"/>
        </w:rPr>
        <w:t xml:space="preserve">1.7. Do Reajuste</w:t>
      </w:r>
      <w:r>
        <w:rPr>
          <w:rFonts w:ascii="Arial" w:hAnsi="Arial" w:cs="Arial"/>
        </w:rPr>
      </w:r>
    </w:p>
    <w:p w14:paraId="17DBD19A" w14:textId="77777777">
      <w:pPr>
        <w:pBdr/>
        <w:spacing w:line="360" w:lineRule="auto"/>
        <w:ind/>
        <w:jc w:val="both"/>
        <w:rPr>
          <w:rFonts w:ascii="Arial" w:hAnsi="Arial" w:cs="Arial"/>
        </w:rPr>
      </w:pPr>
      <w:r>
        <w:rPr>
          <w:rFonts w:ascii="Arial" w:hAnsi="Arial" w:cs="Arial"/>
        </w:rPr>
        <w:t xml:space="preserve">1.7.1. Os contratos decorrentes poderão prever reajuste de preços, mediante solicitação da contratada, observado o interregno mínimo de 12 (doze) meses, contado da data da apresentação da proposta vencedora, nos termos da Lei nº 14.133/2021.</w:t>
      </w:r>
      <w:r>
        <w:rPr>
          <w:rFonts w:ascii="Arial" w:hAnsi="Arial" w:cs="Arial"/>
        </w:rPr>
      </w:r>
    </w:p>
    <w:p w14:paraId="6704CD72" w14:textId="77777777">
      <w:pPr>
        <w:pBdr/>
        <w:spacing w:line="360" w:lineRule="auto"/>
        <w:ind/>
        <w:jc w:val="both"/>
        <w:rPr>
          <w:rFonts w:ascii="Arial" w:hAnsi="Arial" w:cs="Arial"/>
        </w:rPr>
      </w:pPr>
      <w:r>
        <w:rPr>
          <w:rFonts w:ascii="Arial" w:hAnsi="Arial" w:cs="Arial"/>
        </w:rPr>
        <w:t xml:space="preserve">1.7.2. O índice a ser aplicado será o IPCA/IBGE, ou outro que venha a substituí-lo, conforme legislação vigente.</w:t>
      </w:r>
      <w:r>
        <w:rPr>
          <w:rFonts w:ascii="Arial" w:hAnsi="Arial" w:cs="Arial"/>
        </w:rPr>
      </w:r>
    </w:p>
    <w:p w14:paraId="3E4A79B6" w14:textId="77777777">
      <w:pPr>
        <w:pBdr/>
        <w:spacing w:line="360" w:lineRule="auto"/>
        <w:ind/>
        <w:jc w:val="both"/>
        <w:rPr>
          <w:rFonts w:ascii="Arial" w:hAnsi="Arial" w:cs="Arial"/>
        </w:rPr>
      </w:pPr>
      <w:r>
        <w:rPr>
          <w:rFonts w:ascii="Arial" w:hAnsi="Arial" w:cs="Arial"/>
        </w:rPr>
        <w:t xml:space="preserve">1.8. Da Garantia Contratual</w:t>
      </w:r>
      <w:r>
        <w:rPr>
          <w:rFonts w:ascii="Arial" w:hAnsi="Arial" w:cs="Arial"/>
        </w:rPr>
      </w:r>
    </w:p>
    <w:p w14:paraId="4A2C1927" w14:textId="77777777">
      <w:pPr>
        <w:pBdr/>
        <w:spacing w:line="360" w:lineRule="auto"/>
        <w:ind/>
        <w:jc w:val="both"/>
        <w:rPr>
          <w:rFonts w:ascii="Arial" w:hAnsi="Arial" w:cs="Arial"/>
        </w:rPr>
      </w:pPr>
      <w:r>
        <w:rPr>
          <w:rFonts w:ascii="Arial" w:hAnsi="Arial" w:cs="Arial"/>
        </w:rPr>
        <w:t xml:space="preserve">1.8.1. Fica dispensada a exigência de garantia contratual, nos termos do art. 96 da Lei nº 14.133/2021, considerando:</w:t>
      </w:r>
      <w:r>
        <w:rPr>
          <w:rFonts w:ascii="Arial" w:hAnsi="Arial" w:cs="Arial"/>
        </w:rPr>
      </w:r>
    </w:p>
    <w:p w14:paraId="18CDC570" w14:textId="77777777">
      <w:pPr>
        <w:pBdr/>
        <w:spacing w:line="360" w:lineRule="auto"/>
        <w:ind/>
        <w:jc w:val="both"/>
        <w:rPr>
          <w:rFonts w:ascii="Arial" w:hAnsi="Arial" w:cs="Arial"/>
        </w:rPr>
      </w:pPr>
      <w:r>
        <w:rPr>
          <w:rFonts w:ascii="Arial" w:hAnsi="Arial" w:cs="Arial"/>
        </w:rPr>
        <w:t xml:space="preserve">I – a natureza padronizada do serviço;</w:t>
      </w:r>
      <w:r>
        <w:rPr>
          <w:rFonts w:ascii="Arial" w:hAnsi="Arial" w:cs="Arial"/>
        </w:rPr>
      </w:r>
    </w:p>
    <w:p w14:paraId="291C0C1E" w14:textId="77777777">
      <w:pPr>
        <w:pBdr/>
        <w:spacing w:line="360" w:lineRule="auto"/>
        <w:ind/>
        <w:jc w:val="both"/>
        <w:rPr>
          <w:rFonts w:ascii="Arial" w:hAnsi="Arial" w:cs="Arial"/>
        </w:rPr>
      </w:pPr>
      <w:r>
        <w:rPr>
          <w:rFonts w:ascii="Arial" w:hAnsi="Arial" w:cs="Arial"/>
        </w:rPr>
        <w:t xml:space="preserve">II – a ampla oferta no mercado;</w:t>
      </w:r>
      <w:r>
        <w:rPr>
          <w:rFonts w:ascii="Arial" w:hAnsi="Arial" w:cs="Arial"/>
        </w:rPr>
      </w:r>
    </w:p>
    <w:p w14:paraId="340997BE" w14:textId="77777777">
      <w:pPr>
        <w:pBdr/>
        <w:spacing w:line="360" w:lineRule="auto"/>
        <w:ind/>
        <w:jc w:val="both"/>
        <w:rPr>
          <w:rFonts w:ascii="Arial" w:hAnsi="Arial" w:cs="Arial"/>
        </w:rPr>
      </w:pPr>
      <w:r>
        <w:rPr>
          <w:rFonts w:ascii="Arial" w:hAnsi="Arial" w:cs="Arial"/>
        </w:rPr>
        <w:t xml:space="preserve">III – o baixo risco de inadimplemento material;</w:t>
      </w:r>
      <w:r>
        <w:rPr>
          <w:rFonts w:ascii="Arial" w:hAnsi="Arial" w:cs="Arial"/>
        </w:rPr>
      </w:r>
    </w:p>
    <w:p w14:paraId="6F0F1A61" w14:textId="77777777">
      <w:pPr>
        <w:pBdr/>
        <w:spacing w:line="360" w:lineRule="auto"/>
        <w:ind/>
        <w:jc w:val="both"/>
        <w:rPr>
          <w:rFonts w:ascii="Arial" w:hAnsi="Arial" w:cs="Arial"/>
        </w:rPr>
      </w:pPr>
      <w:r>
        <w:rPr>
          <w:rFonts w:ascii="Arial" w:hAnsi="Arial" w:cs="Arial"/>
        </w:rPr>
        <w:t xml:space="preserve">IV – a execução predominantemente eletrônica.</w:t>
      </w:r>
      <w:r>
        <w:rPr>
          <w:rFonts w:ascii="Arial" w:hAnsi="Arial" w:cs="Arial"/>
        </w:rPr>
      </w:r>
    </w:p>
    <w:p w14:paraId="3173EA95" w14:textId="77777777">
      <w:pPr>
        <w:pBdr/>
        <w:spacing w:line="360" w:lineRule="auto"/>
        <w:ind/>
        <w:jc w:val="both"/>
        <w:rPr>
          <w:rFonts w:ascii="Arial" w:hAnsi="Arial" w:cs="Arial"/>
        </w:rPr>
      </w:pPr>
      <w:r>
        <w:rPr>
          <w:rFonts w:ascii="Arial" w:hAnsi="Arial" w:cs="Arial"/>
        </w:rPr>
        <w:t xml:space="preserve">1.8.2. Permanecem integralmente aplicáveis as sanções administrativas previstas nos arts. 156 a 159 da Lei nº 14.133/2021, em caso de descumprimento contratual.</w:t>
      </w:r>
      <w:r>
        <w:rPr>
          <w:rFonts w:ascii="Arial" w:hAnsi="Arial" w:cs="Arial"/>
        </w:rPr>
      </w:r>
    </w:p>
    <w:p w14:paraId="46FB2CF8" w14:textId="77777777">
      <w:pPr>
        <w:pBdr>
          <w:top w:val="single" w:color="000000" w:sz="4" w:space="0"/>
          <w:left w:val="single" w:color="000000" w:sz="4" w:space="0"/>
          <w:bottom w:val="single" w:color="000000" w:sz="4" w:space="0"/>
          <w:right w:val="single" w:color="000000" w:sz="4" w:space="0"/>
        </w:pBdr>
        <w:shd w:val="clear" w:color="auto" w:fill="d7d7d7"/>
        <w:spacing/>
        <w:ind/>
        <w:jc w:val="center"/>
        <w:rPr>
          <w:rFonts w:ascii="Arial" w:hAnsi="Arial" w:cs="Arial"/>
          <w:b/>
          <w:bCs/>
        </w:rPr>
      </w:pPr>
      <w:r>
        <w:rPr>
          <w:rFonts w:ascii="Arial" w:hAnsi="Arial" w:cs="Arial"/>
          <w:b/>
          <w:bCs/>
        </w:rPr>
        <w:t xml:space="preserve">2. FUNDAMENTAÇÃO E DESCRIÇÃO DA NECESSIDADE DA CONTRATAÇÃO</w:t>
      </w:r>
      <w:r>
        <w:rPr>
          <w:rFonts w:ascii="Arial" w:hAnsi="Arial" w:cs="Arial"/>
          <w:b/>
          <w:bCs/>
        </w:rPr>
      </w:r>
    </w:p>
    <w:p w14:paraId="2CF913F1" w14:textId="77777777">
      <w:pPr>
        <w:pBdr/>
        <w:spacing w:line="360" w:lineRule="auto"/>
        <w:ind/>
        <w:jc w:val="both"/>
        <w:rPr>
          <w:rFonts w:ascii="Arial" w:hAnsi="Arial" w:cs="Arial"/>
        </w:rPr>
      </w:pPr>
      <w:r>
        <w:rPr>
          <w:rFonts w:ascii="Arial" w:hAnsi="Arial" w:cs="Arial"/>
        </w:rPr>
        <w:t xml:space="preserve">2.1. O objeto da presente licitação consiste no Registro de Preços para futura e eventual contratação de emp</w:t>
      </w:r>
      <w:r>
        <w:rPr>
          <w:rFonts w:ascii="Arial" w:hAnsi="Arial" w:cs="Arial"/>
        </w:rPr>
        <w:t xml:space="preserve">resa especializada na administração e gerenciamento de cartões magnéticos físicos, com créditos eletrônicos pré-carregados, no valor fixo de R$ 750,00 (setecentos e cinquenta reais) por benefício concedido, bem como no credenciamento de fornecedores locais</w:t>
      </w:r>
      <w:r>
        <w:rPr>
          <w:rFonts w:ascii="Arial" w:hAnsi="Arial" w:cs="Arial"/>
        </w:rPr>
        <w:t xml:space="preserve"> aptos a aceitar os cartões como forma de pagamento, destinados à concessão do Benefício Eventual  Auxílio Natalidade às famílias em situação de vulnerabilidade social atendidas pela Secretaria Municipal de Promoção e Assistência Social de Rondonópolis-MT.</w:t>
      </w:r>
      <w:r>
        <w:rPr>
          <w:rFonts w:ascii="Arial" w:hAnsi="Arial" w:cs="Arial"/>
        </w:rPr>
      </w:r>
    </w:p>
    <w:p w14:paraId="6A7EC2F7" w14:textId="77777777">
      <w:pPr>
        <w:pBdr/>
        <w:spacing w:line="360" w:lineRule="auto"/>
        <w:ind/>
        <w:jc w:val="both"/>
        <w:rPr>
          <w:rFonts w:ascii="Arial" w:hAnsi="Arial" w:cs="Arial"/>
        </w:rPr>
      </w:pPr>
      <w:r>
        <w:rPr>
          <w:rFonts w:ascii="Arial" w:hAnsi="Arial" w:cs="Arial"/>
        </w:rPr>
        <w:t xml:space="preserve">2.2. A contratação tem por finalidade assegurar às gestantes e puérperas em situação de vulnerabilidade social o acesso a itens essenciais do enxoval do r</w:t>
      </w:r>
      <w:r>
        <w:rPr>
          <w:rFonts w:ascii="Arial" w:hAnsi="Arial" w:cs="Arial"/>
        </w:rPr>
        <w:t xml:space="preserve">ecém-nascido, garantindo a proteção social básica, a dignidade da pessoa humana e o fortalecimento da função protetiva da família, em consonância com os princípios do Sistema Único de Assistência Social – SUAS e da Política Municipal de Assistência Social.</w:t>
      </w:r>
      <w:r>
        <w:rPr>
          <w:rFonts w:ascii="Arial" w:hAnsi="Arial" w:cs="Arial"/>
        </w:rPr>
      </w:r>
    </w:p>
    <w:p w14:paraId="1C0A6356" w14:textId="77777777">
      <w:pPr>
        <w:pBdr/>
        <w:spacing w:line="360" w:lineRule="auto"/>
        <w:ind/>
        <w:jc w:val="both"/>
        <w:rPr>
          <w:rFonts w:ascii="Arial" w:hAnsi="Arial" w:cs="Arial"/>
        </w:rPr>
      </w:pPr>
      <w:r>
        <w:rPr>
          <w:rFonts w:ascii="Arial" w:hAnsi="Arial" w:cs="Arial"/>
        </w:rPr>
        <w:t xml:space="preserve">2.3. A adoção de cartões magnéticos com créditos eletrônicos, em substituição à entrega de kits físicos, decorre da solução definida no Estudo Técn</w:t>
      </w:r>
      <w:r>
        <w:rPr>
          <w:rFonts w:ascii="Arial" w:hAnsi="Arial" w:cs="Arial"/>
        </w:rPr>
        <w:t xml:space="preserve">ico Preliminar, por se mostrar mais eficiente sob os aspectos operacional, econômico e logístico, além de conferir maior autonomia às famílias beneficiárias e fomentar a economia local por meio do credenciamento de estabelecimentos comerciais do município.</w:t>
      </w:r>
      <w:r>
        <w:rPr>
          <w:rFonts w:ascii="Arial" w:hAnsi="Arial" w:cs="Arial"/>
        </w:rPr>
      </w:r>
    </w:p>
    <w:p w14:paraId="55919968" w14:textId="77777777">
      <w:pPr>
        <w:pBdr/>
        <w:spacing w:line="360" w:lineRule="auto"/>
        <w:ind/>
        <w:jc w:val="both"/>
        <w:rPr>
          <w:rFonts w:ascii="Arial" w:hAnsi="Arial" w:cs="Arial"/>
        </w:rPr>
      </w:pPr>
      <w:r>
        <w:rPr>
          <w:rFonts w:ascii="Arial" w:hAnsi="Arial" w:cs="Arial"/>
        </w:rPr>
        <w:t xml:space="preserve">2.4. O benefício eventual Auxílio Natalidade constitui instru</w:t>
      </w:r>
      <w:r>
        <w:rPr>
          <w:rFonts w:ascii="Arial" w:hAnsi="Arial" w:cs="Arial"/>
        </w:rPr>
        <w:t xml:space="preserve">mento de apoio direto às famílias em situação de pobreza ou extrema pobreza, promovendo equidade de acesso, respeito às diversidades culturais e exercício da cidadania, nos termos do art. 22 da Lei Orgânica da Assistência Social – LOAS (Lei nº 8.742/1993).</w:t>
      </w:r>
      <w:r>
        <w:rPr>
          <w:rFonts w:ascii="Arial" w:hAnsi="Arial" w:cs="Arial"/>
        </w:rPr>
      </w:r>
    </w:p>
    <w:p w14:paraId="4DB70957" w14:textId="77777777">
      <w:pPr>
        <w:pBdr/>
        <w:spacing w:line="360" w:lineRule="auto"/>
        <w:ind/>
        <w:jc w:val="both"/>
        <w:rPr>
          <w:rFonts w:ascii="Arial" w:hAnsi="Arial" w:cs="Arial"/>
        </w:rPr>
      </w:pPr>
      <w:r>
        <w:rPr>
          <w:rFonts w:ascii="Arial" w:hAnsi="Arial" w:cs="Arial"/>
        </w:rPr>
        <w:t xml:space="preserve">2.5. O presente Termo de Referência foi elaborado em conformidade com os arts. 6º, inciso XXIII, 18 e 82 da Lei nº 14.133/2021, o</w:t>
      </w:r>
      <w:r>
        <w:rPr>
          <w:rFonts w:ascii="Arial" w:hAnsi="Arial" w:cs="Arial"/>
        </w:rPr>
        <w:t xml:space="preserve">bservadas, de forma subsidiária e no que couber, as disposições da Instrução Normativa SEGES/ME nº 5/2017, bem como o Decreto Municipal nº 11.685/2023, que regulamenta a fase preparatória das contratações públicas no âmbito do Município de Rondonópolis-MT.</w:t>
      </w:r>
      <w:r>
        <w:rPr>
          <w:rFonts w:ascii="Arial" w:hAnsi="Arial" w:cs="Arial"/>
        </w:rPr>
      </w:r>
    </w:p>
    <w:p w14:paraId="01EE314A" w14:textId="77777777">
      <w:pPr>
        <w:pBdr/>
        <w:spacing w:line="360" w:lineRule="auto"/>
        <w:ind/>
        <w:jc w:val="both"/>
        <w:rPr>
          <w:rFonts w:ascii="Arial" w:hAnsi="Arial" w:cs="Arial"/>
        </w:rPr>
      </w:pPr>
      <w:r>
        <w:rPr>
          <w:rFonts w:ascii="Arial" w:hAnsi="Arial" w:cs="Arial"/>
        </w:rPr>
        <w:t xml:space="preserve">2.6. Os serviços objeto desta contratação são classi</w:t>
      </w:r>
      <w:r>
        <w:rPr>
          <w:rFonts w:ascii="Arial" w:hAnsi="Arial" w:cs="Arial"/>
        </w:rPr>
        <w:t xml:space="preserve">ficados como serviços comuns, uma vez que possuem padrões de qualidade e desempenho objetivamente definidos pelas práticas usuais de mercado, nos termos do art. 6º, inciso XIII, da Lei nº 14.133/2021, não demandando avaliação técnica de natureza subjetiva.</w:t>
      </w:r>
      <w:r>
        <w:rPr>
          <w:rFonts w:ascii="Arial" w:hAnsi="Arial" w:cs="Arial"/>
        </w:rPr>
      </w:r>
    </w:p>
    <w:p w14:paraId="29E59FD4" w14:textId="77777777">
      <w:pPr>
        <w:pBdr/>
        <w:spacing w:line="360" w:lineRule="auto"/>
        <w:ind/>
        <w:jc w:val="both"/>
        <w:rPr>
          <w:rFonts w:ascii="Arial" w:hAnsi="Arial" w:cs="Arial"/>
        </w:rPr>
      </w:pPr>
      <w:r>
        <w:rPr>
          <w:rFonts w:ascii="Arial" w:hAnsi="Arial" w:cs="Arial"/>
        </w:rPr>
        <w:t xml:space="preserve">2.7. Os valores de refer</w:t>
      </w:r>
      <w:r>
        <w:rPr>
          <w:rFonts w:ascii="Arial" w:hAnsi="Arial" w:cs="Arial"/>
        </w:rPr>
        <w:t xml:space="preserve">ência foram apurados mediante pesquisa de preços realizada no Banco de Preços, adotando-se a mediana dos valores coletados, conforme dispõe o art. 23 da Lei nº 14.133/2021, assegurando economicidade, razoabilidade e fidedignidade à estimativa orçamentária.</w:t>
      </w:r>
      <w:r>
        <w:rPr>
          <w:rFonts w:ascii="Arial" w:hAnsi="Arial" w:cs="Arial"/>
        </w:rPr>
      </w:r>
    </w:p>
    <w:p w14:paraId="6931477B" w14:textId="77777777">
      <w:pPr>
        <w:pBdr/>
        <w:spacing w:line="360" w:lineRule="auto"/>
        <w:ind/>
        <w:jc w:val="both"/>
        <w:rPr>
          <w:rFonts w:ascii="Arial" w:hAnsi="Arial" w:cs="Arial"/>
        </w:rPr>
      </w:pPr>
      <w:r>
        <w:rPr>
          <w:rFonts w:ascii="Arial" w:hAnsi="Arial" w:cs="Arial"/>
        </w:rPr>
        <w:t xml:space="preserve">2.8. O presente Termo de Referência guarda plena consonância com o</w:t>
      </w:r>
      <w:r>
        <w:rPr>
          <w:rFonts w:ascii="Arial" w:hAnsi="Arial" w:cs="Arial"/>
        </w:rPr>
        <w:t xml:space="preserve"> Estudo Técnico Preliminar – ETP, elaborado nos termos do art. 18 da Lei nº 14.133/2021, do qual decorrem a caracterização da necessidade administrativa, a definição da solução adotada, o modelo de execução, os requisitos técnicos, operacionais, econômicos</w:t>
      </w:r>
      <w:r>
        <w:rPr>
          <w:rFonts w:ascii="Arial" w:hAnsi="Arial" w:cs="Arial"/>
        </w:rPr>
        <w:t xml:space="preserve"> e jurídicos, bem como as estimativas e premissas que fundamentam a presente contratação, assegurando a unidade do planejamento, a coerência da fase preparatória e a observância dos princípios da eficiência, economicidade, planejamento e interesse público.</w:t>
      </w:r>
      <w:r>
        <w:rPr>
          <w:rFonts w:ascii="Arial" w:hAnsi="Arial" w:cs="Arial"/>
        </w:rPr>
      </w:r>
    </w:p>
    <w:p w14:paraId="229024C2"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line="276" w:lineRule="auto"/>
        <w:ind/>
        <w:jc w:val="center"/>
        <w:rPr>
          <w:rFonts w:ascii="Arial" w:hAnsi="Arial" w:cs="Arial"/>
          <w:b/>
          <w:bCs/>
        </w:rPr>
      </w:pPr>
      <w:r>
        <w:rPr>
          <w:rFonts w:ascii="Arial" w:hAnsi="Arial" w:cs="Arial"/>
          <w:b/>
          <w:bCs/>
        </w:rPr>
        <w:t xml:space="preserve">3. REQUISITOS DA CONTRATAÇÃO</w:t>
      </w:r>
      <w:r>
        <w:rPr>
          <w:rFonts w:ascii="Arial" w:hAnsi="Arial" w:cs="Arial"/>
          <w:b/>
          <w:bCs/>
        </w:rPr>
      </w:r>
    </w:p>
    <w:p w14:paraId="0EDEEF9C" w14:textId="77777777">
      <w:pPr>
        <w:pBdr/>
        <w:spacing w:line="360" w:lineRule="auto"/>
        <w:ind/>
        <w:jc w:val="both"/>
        <w:rPr>
          <w:rFonts w:ascii="Arial" w:hAnsi="Arial" w:cs="Arial"/>
        </w:rPr>
      </w:pPr>
      <w:r>
        <w:rPr>
          <w:rFonts w:ascii="Arial" w:hAnsi="Arial" w:cs="Arial"/>
        </w:rPr>
        <w:t xml:space="preserve">3.1. Modalidade e Critério de Julgamento</w:t>
      </w:r>
      <w:r>
        <w:rPr>
          <w:rFonts w:ascii="Arial" w:hAnsi="Arial" w:cs="Arial"/>
        </w:rPr>
      </w:r>
    </w:p>
    <w:p w14:paraId="199AF1F1" w14:textId="77777777">
      <w:pPr>
        <w:pBdr/>
        <w:spacing w:line="360" w:lineRule="auto"/>
        <w:ind/>
        <w:jc w:val="both"/>
        <w:rPr>
          <w:rFonts w:ascii="Arial" w:hAnsi="Arial" w:cs="Arial"/>
        </w:rPr>
      </w:pPr>
      <w:r>
        <w:rPr>
          <w:rFonts w:ascii="Arial" w:hAnsi="Arial" w:cs="Arial"/>
        </w:rPr>
        <w:t xml:space="preserve">A contratação</w:t>
      </w:r>
      <w:r>
        <w:rPr>
          <w:rFonts w:ascii="Arial" w:hAnsi="Arial" w:cs="Arial"/>
        </w:rPr>
        <w:t xml:space="preserve"> será realizada por meio de licitação na modalidade Pregão Eletrônico, por se tratar de serviços comuns, cujos padrões de desempenho e qualidade podem ser objetivamente definidos, nos termos dos arts. 6º, inciso XIII, e 28, inciso I, da Lei nº 14.133/2021.</w:t>
      </w:r>
      <w:r>
        <w:rPr>
          <w:rFonts w:ascii="Arial" w:hAnsi="Arial" w:cs="Arial"/>
        </w:rPr>
      </w:r>
    </w:p>
    <w:p w14:paraId="68405BDA" w14:textId="77777777">
      <w:pPr>
        <w:pBdr/>
        <w:spacing w:line="360" w:lineRule="auto"/>
        <w:ind/>
        <w:jc w:val="both"/>
        <w:rPr>
          <w:rFonts w:ascii="Arial" w:hAnsi="Arial" w:cs="Arial"/>
        </w:rPr>
      </w:pPr>
      <w:r>
        <w:rPr>
          <w:rFonts w:ascii="Arial" w:hAnsi="Arial" w:cs="Arial"/>
        </w:rPr>
        <w:t xml:space="preserve">O critério de julgamento adotado será o de menor preço, apurado pela menor taxa de administração, elemento competitivo aplicável ao objeto do Registro de Preços para contratação de empresa especializada na administração de cartões magnéticos, com proce</w:t>
      </w:r>
      <w:r>
        <w:rPr>
          <w:rFonts w:ascii="Arial" w:hAnsi="Arial" w:cs="Arial"/>
        </w:rPr>
        <w:t xml:space="preserve">ssamento e carga de créditos eletrônicos, bem como no credenciamento de fornecedores para atendimento do Benefício Eventual – Auxílio Natalidade, destinado às famílias atendidas pela Secretaria Municipal de Promoção e Assistência Social de Rondonópolis-MT.</w:t>
      </w:r>
      <w:r>
        <w:rPr>
          <w:rFonts w:ascii="Arial" w:hAnsi="Arial" w:cs="Arial"/>
        </w:rPr>
      </w:r>
    </w:p>
    <w:p w14:paraId="0810A7F8" w14:textId="77777777">
      <w:pPr>
        <w:pBdr/>
        <w:spacing w:line="360" w:lineRule="auto"/>
        <w:ind/>
        <w:jc w:val="both"/>
        <w:rPr>
          <w:rFonts w:ascii="Arial" w:hAnsi="Arial" w:cs="Arial"/>
        </w:rPr>
      </w:pPr>
      <w:r>
        <w:rPr>
          <w:rFonts w:ascii="Arial" w:hAnsi="Arial" w:cs="Arial"/>
        </w:rPr>
        <w:t xml:space="preserve">3.2. Habilitação e Ramo de Atuação</w:t>
      </w:r>
      <w:r>
        <w:rPr>
          <w:rFonts w:ascii="Arial" w:hAnsi="Arial" w:cs="Arial"/>
        </w:rPr>
      </w:r>
    </w:p>
    <w:p w14:paraId="02088C8B" w14:textId="77777777">
      <w:pPr>
        <w:pBdr/>
        <w:spacing w:line="360" w:lineRule="auto"/>
        <w:ind/>
        <w:jc w:val="both"/>
        <w:rPr>
          <w:rFonts w:ascii="Arial" w:hAnsi="Arial" w:cs="Arial"/>
        </w:rPr>
      </w:pPr>
      <w:r>
        <w:rPr>
          <w:rFonts w:ascii="Arial" w:hAnsi="Arial" w:cs="Arial"/>
        </w:rPr>
        <w:t xml:space="preserve">Os licitantes deverão comprovar atuação em ramo de atividade compatível com o objeto da contratação e apresentar a documentação de habilitação jur</w:t>
      </w:r>
      <w:r>
        <w:rPr>
          <w:rFonts w:ascii="Arial" w:hAnsi="Arial" w:cs="Arial"/>
        </w:rPr>
        <w:t xml:space="preserve">ídica, fiscal, trabalhista, previdenciária e técnica, nos termos dos arts. 62 a 70 da Lei nº 14.133/2021, observadas as exigências mínimas indispensáveis à garantia do cumprimento das obrigações contratuais, vedadas restrições excessivas à competitividade.</w:t>
      </w:r>
      <w:r>
        <w:rPr>
          <w:rFonts w:ascii="Arial" w:hAnsi="Arial" w:cs="Arial"/>
        </w:rPr>
      </w:r>
    </w:p>
    <w:p w14:paraId="1D0473DC" w14:textId="77777777">
      <w:pPr>
        <w:pBdr/>
        <w:spacing w:line="360" w:lineRule="auto"/>
        <w:ind/>
        <w:jc w:val="both"/>
        <w:rPr>
          <w:rFonts w:ascii="Arial" w:hAnsi="Arial" w:cs="Arial"/>
        </w:rPr>
      </w:pPr>
      <w:r>
        <w:rPr>
          <w:rFonts w:ascii="Arial" w:hAnsi="Arial" w:cs="Arial"/>
        </w:rPr>
        <w:t xml:space="preserve">3.3. Vistoria e Apresentação de Amostras</w:t>
      </w:r>
      <w:r>
        <w:rPr>
          <w:rFonts w:ascii="Arial" w:hAnsi="Arial" w:cs="Arial"/>
        </w:rPr>
      </w:r>
    </w:p>
    <w:p w14:paraId="4EDD7DB7" w14:textId="77777777">
      <w:pPr>
        <w:pBdr/>
        <w:spacing w:line="360" w:lineRule="auto"/>
        <w:ind/>
        <w:jc w:val="both"/>
        <w:rPr>
          <w:rFonts w:ascii="Arial" w:hAnsi="Arial" w:cs="Arial"/>
        </w:rPr>
      </w:pPr>
      <w:r>
        <w:rPr>
          <w:rFonts w:ascii="Arial" w:hAnsi="Arial" w:cs="Arial"/>
        </w:rPr>
        <w:t xml:space="preserve">Não será exigida vistoria prévia nem apresentação de amostras, uma vez que o objeto da contratação consis</w:t>
      </w:r>
      <w:r>
        <w:rPr>
          <w:rFonts w:ascii="Arial" w:hAnsi="Arial" w:cs="Arial"/>
        </w:rPr>
        <w:t xml:space="preserve">te em serviço de administração de cartões magnéticos, com produtos padronizados e amplamente utilizados no mercado, não demandando avaliação técnica in loco de instalações ou estruturas físicas, conforme as características definidas no Termo de Referência.</w:t>
      </w:r>
      <w:r>
        <w:rPr>
          <w:rFonts w:ascii="Arial" w:hAnsi="Arial" w:cs="Arial"/>
        </w:rPr>
      </w:r>
    </w:p>
    <w:p w14:paraId="222CA834" w14:textId="77777777">
      <w:pPr>
        <w:pBdr/>
        <w:spacing w:line="360" w:lineRule="auto"/>
        <w:ind/>
        <w:jc w:val="both"/>
        <w:rPr>
          <w:rFonts w:ascii="Arial" w:hAnsi="Arial" w:cs="Arial"/>
        </w:rPr>
      </w:pPr>
      <w:r>
        <w:rPr>
          <w:rFonts w:ascii="Arial" w:hAnsi="Arial" w:cs="Arial"/>
        </w:rPr>
        <w:t xml:space="preserve">3.4. Subcontratação</w:t>
      </w:r>
      <w:r>
        <w:rPr>
          <w:rFonts w:ascii="Arial" w:hAnsi="Arial" w:cs="Arial"/>
        </w:rPr>
      </w:r>
    </w:p>
    <w:p w14:paraId="263D9AC0" w14:textId="77777777">
      <w:pPr>
        <w:pBdr/>
        <w:spacing w:line="360" w:lineRule="auto"/>
        <w:ind/>
        <w:jc w:val="both"/>
        <w:rPr>
          <w:rFonts w:ascii="Arial" w:hAnsi="Arial" w:cs="Arial"/>
        </w:rPr>
      </w:pPr>
      <w:r>
        <w:rPr>
          <w:rFonts w:ascii="Arial" w:hAnsi="Arial" w:cs="Arial"/>
        </w:rPr>
        <w:t xml:space="preserve">É vedada a subcontratação do núcleo </w:t>
      </w:r>
      <w:r>
        <w:rPr>
          <w:rFonts w:ascii="Arial" w:hAnsi="Arial" w:cs="Arial"/>
        </w:rPr>
        <w:t xml:space="preserve">operacional do objeto, compreendendo a gestão, administração, processamento dos créditos eletrônicos e controle dos cartões vinculados ao Benefício Eventual – Auxílio Natalidade, devendo tais atividades permanecer sob responsabilidade direta da contratada.</w:t>
      </w:r>
      <w:r>
        <w:rPr>
          <w:rFonts w:ascii="Arial" w:hAnsi="Arial" w:cs="Arial"/>
        </w:rPr>
      </w:r>
    </w:p>
    <w:p w14:paraId="246672A5" w14:textId="77777777">
      <w:pPr>
        <w:pBdr/>
        <w:spacing w:line="360" w:lineRule="auto"/>
        <w:ind/>
        <w:jc w:val="both"/>
        <w:rPr>
          <w:rFonts w:ascii="Arial" w:hAnsi="Arial" w:cs="Arial"/>
        </w:rPr>
      </w:pPr>
      <w:r>
        <w:rPr>
          <w:rFonts w:ascii="Arial" w:hAnsi="Arial" w:cs="Arial"/>
        </w:rPr>
        <w:t xml:space="preserve">Admite-se a subcontratação de atividades acessórias ou complementares, tais como serviços de hospedagem em data center, infraestrutura em nuvem</w:t>
      </w:r>
      <w:r>
        <w:rPr>
          <w:rFonts w:ascii="Arial" w:hAnsi="Arial" w:cs="Arial"/>
        </w:rPr>
        <w:t xml:space="preserve">, monitoramento de segurança da informação ou soluções tecnológicas especializadas, desde que não impliquem transferência da responsabilidade contratual e que a contratada permaneça integralmente responsável perante a Administração pela execução do objeto.</w:t>
      </w:r>
      <w:r>
        <w:rPr>
          <w:rFonts w:ascii="Arial" w:hAnsi="Arial" w:cs="Arial"/>
        </w:rPr>
      </w:r>
    </w:p>
    <w:p w14:paraId="0948F4F1" w14:textId="77777777">
      <w:pPr>
        <w:pBdr/>
        <w:spacing w:line="360" w:lineRule="auto"/>
        <w:ind/>
        <w:jc w:val="both"/>
        <w:rPr>
          <w:rFonts w:ascii="Arial" w:hAnsi="Arial" w:cs="Arial"/>
        </w:rPr>
      </w:pPr>
      <w:r>
        <w:rPr>
          <w:rFonts w:ascii="Arial" w:hAnsi="Arial" w:cs="Arial"/>
        </w:rPr>
        <w:t xml:space="preserve">3.5. Participação de Consórcios</w:t>
      </w:r>
      <w:r>
        <w:rPr>
          <w:rFonts w:ascii="Arial" w:hAnsi="Arial" w:cs="Arial"/>
        </w:rPr>
      </w:r>
    </w:p>
    <w:p w14:paraId="4EE98297" w14:textId="77777777">
      <w:pPr>
        <w:pBdr/>
        <w:spacing w:line="360" w:lineRule="auto"/>
        <w:ind/>
        <w:jc w:val="both"/>
        <w:rPr>
          <w:rFonts w:ascii="Arial" w:hAnsi="Arial" w:cs="Arial"/>
        </w:rPr>
      </w:pPr>
      <w:r>
        <w:rPr>
          <w:rFonts w:ascii="Arial" w:hAnsi="Arial" w:cs="Arial"/>
        </w:rPr>
        <w:t xml:space="preserve">Não será permitida a participação de empresas reunidas em consórcio, nos termos do art. 15 da L</w:t>
      </w:r>
      <w:r>
        <w:rPr>
          <w:rFonts w:ascii="Arial" w:hAnsi="Arial" w:cs="Arial"/>
        </w:rPr>
        <w:t xml:space="preserve">ei nº 14.133/2021, uma vez que o objeto apresenta baixa complexidade técnica, ampla oferta no mercado e plena viabilidade de execução por empresas de forma individual, sem prejuízo à competitividade, à isonomia entre os licitantes ou à execução contratual.</w:t>
      </w:r>
      <w:r>
        <w:rPr>
          <w:rFonts w:ascii="Arial" w:hAnsi="Arial" w:cs="Arial"/>
        </w:rPr>
      </w:r>
    </w:p>
    <w:p w14:paraId="6F43A7CE" w14:textId="77777777">
      <w:pPr>
        <w:pBdr/>
        <w:spacing w:line="360" w:lineRule="auto"/>
        <w:ind/>
        <w:jc w:val="both"/>
        <w:rPr>
          <w:rFonts w:ascii="Arial" w:hAnsi="Arial" w:cs="Arial"/>
        </w:rPr>
      </w:pPr>
      <w:r>
        <w:rPr>
          <w:rFonts w:ascii="Arial" w:hAnsi="Arial" w:cs="Arial"/>
        </w:rPr>
        <w:t xml:space="preserve">3.6. Garantia da Execução do Objeto</w:t>
      </w:r>
      <w:r>
        <w:rPr>
          <w:rFonts w:ascii="Arial" w:hAnsi="Arial" w:cs="Arial"/>
        </w:rPr>
      </w:r>
    </w:p>
    <w:p w14:paraId="11897895" w14:textId="77777777">
      <w:pPr>
        <w:pBdr/>
        <w:spacing w:line="360" w:lineRule="auto"/>
        <w:ind/>
        <w:jc w:val="both"/>
        <w:rPr>
          <w:rFonts w:ascii="Arial" w:hAnsi="Arial" w:cs="Arial"/>
        </w:rPr>
      </w:pPr>
      <w:r>
        <w:rPr>
          <w:rFonts w:ascii="Arial" w:hAnsi="Arial" w:cs="Arial"/>
        </w:rPr>
        <w:t xml:space="preserve">A contratada deverá garantir a execução adequada e contínua dos serviços, responsabilizando-se pela correção de eventuais falhas, inconsistências operacionais ou descumprimento das condições contratadas, se</w:t>
      </w:r>
      <w:r>
        <w:rPr>
          <w:rFonts w:ascii="Arial" w:hAnsi="Arial" w:cs="Arial"/>
        </w:rPr>
        <w:t xml:space="preserve">m ônus adicional para a Administração, durante toda a vigência da contratação, nos termos estabelecidos no Termo de Referência e na proposta vencedora, sem exigência de garantia contratual financeira, conforme justificativa específica constante do processo</w:t>
      </w:r>
      <w:r>
        <w:rPr>
          <w:rFonts w:ascii="Arial" w:hAnsi="Arial" w:cs="Arial"/>
        </w:rPr>
      </w:r>
    </w:p>
    <w:p w14:paraId="61E3B196"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line="276" w:lineRule="auto"/>
        <w:ind/>
        <w:jc w:val="center"/>
        <w:rPr>
          <w:rFonts w:ascii="Arial" w:hAnsi="Arial" w:cs="Arial"/>
          <w:b/>
          <w:bCs/>
        </w:rPr>
      </w:pPr>
      <w:r>
        <w:rPr>
          <w:rFonts w:ascii="Arial" w:hAnsi="Arial" w:cs="Arial"/>
          <w:b/>
          <w:bCs/>
        </w:rPr>
        <w:t xml:space="preserve">4 . MODELO DE EXECUÇÃO DO CONTRATUAL</w:t>
      </w:r>
      <w:r>
        <w:rPr>
          <w:rFonts w:ascii="Arial" w:hAnsi="Arial" w:cs="Arial"/>
          <w:b/>
          <w:bCs/>
        </w:rPr>
      </w:r>
    </w:p>
    <w:p w14:paraId="7720AFF0" w14:textId="77777777">
      <w:pPr>
        <w:pBdr/>
        <w:spacing w:line="360" w:lineRule="auto"/>
        <w:ind/>
        <w:jc w:val="both"/>
        <w:rPr>
          <w:rFonts w:ascii="Arial" w:hAnsi="Arial" w:cs="Arial"/>
        </w:rPr>
      </w:pPr>
      <w:r>
        <w:rPr>
          <w:rFonts w:ascii="Arial" w:hAnsi="Arial" w:cs="Arial"/>
        </w:rPr>
        <w:t xml:space="preserve">4.1. Credenciamento de Estabelecimentos</w:t>
      </w:r>
      <w:r>
        <w:rPr>
          <w:rFonts w:ascii="Arial" w:hAnsi="Arial" w:cs="Arial"/>
        </w:rPr>
      </w:r>
    </w:p>
    <w:p w14:paraId="3C0A9255" w14:textId="77777777">
      <w:pPr>
        <w:pBdr/>
        <w:spacing w:line="360" w:lineRule="auto"/>
        <w:ind/>
        <w:jc w:val="both"/>
        <w:rPr>
          <w:rFonts w:ascii="Arial" w:hAnsi="Arial" w:cs="Arial"/>
        </w:rPr>
      </w:pPr>
      <w:r>
        <w:rPr>
          <w:rFonts w:ascii="Arial" w:hAnsi="Arial" w:cs="Arial"/>
        </w:rPr>
        <w:t xml:space="preserve">Até 30 (trinta) dias, contados da assinatura do contrato decorrente da Ata de Registro de Preços, a Contratada deverá realizar o credenciamento de fornecedores locais, r</w:t>
      </w:r>
      <w:r>
        <w:rPr>
          <w:rFonts w:ascii="Arial" w:hAnsi="Arial" w:cs="Arial"/>
        </w:rPr>
        <w:t xml:space="preserve">estritos ao comércio varejista de Rondonópolis-MT, em quantidade mínima de 03 (três) e preferencialmente até 05 (cinco) estabelecimentos comerciais, por categoria, de forma a assegurar adequada cobertura territorial e efetivo atendimento aos beneficiários.</w:t>
      </w:r>
      <w:r>
        <w:rPr>
          <w:rFonts w:ascii="Arial" w:hAnsi="Arial" w:cs="Arial"/>
        </w:rPr>
      </w:r>
    </w:p>
    <w:p w14:paraId="7C9CA25D" w14:textId="77777777">
      <w:pPr>
        <w:pBdr/>
        <w:spacing w:line="360" w:lineRule="auto"/>
        <w:ind/>
        <w:jc w:val="both"/>
        <w:rPr>
          <w:rFonts w:ascii="Arial" w:hAnsi="Arial" w:cs="Arial"/>
        </w:rPr>
      </w:pPr>
      <w:r>
        <w:rPr>
          <w:rFonts w:ascii="Arial" w:hAnsi="Arial" w:cs="Arial"/>
        </w:rPr>
        <w:t xml:space="preserve">Os fornecedores credenciados deverão ofertar, de forma obrigatória, produtos destinados a recém-nascidos e às mães, compreendendo as seguintes categorias:</w:t>
      </w:r>
      <w:r>
        <w:rPr>
          <w:rFonts w:ascii="Arial" w:hAnsi="Arial" w:cs="Arial"/>
        </w:rPr>
      </w:r>
    </w:p>
    <w:p w14:paraId="200DC1AC"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Higiene e Cuidados Pessoais;</w:t>
      </w:r>
      <w:r>
        <w:rPr>
          <w:rFonts w:ascii="Arial" w:hAnsi="Arial" w:cs="Arial"/>
        </w:rPr>
      </w:r>
    </w:p>
    <w:p w14:paraId="4ACBAEF0"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Vestuário e Enxoval do Bebê;</w:t>
      </w:r>
      <w:r>
        <w:rPr>
          <w:rFonts w:ascii="Arial" w:hAnsi="Arial" w:cs="Arial"/>
        </w:rPr>
      </w:r>
    </w:p>
    <w:p w14:paraId="030303A9"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Mobiliário e Itens para o Quarto do Bebê;</w:t>
      </w:r>
      <w:r>
        <w:rPr>
          <w:rFonts w:ascii="Arial" w:hAnsi="Arial" w:cs="Arial"/>
        </w:rPr>
      </w:r>
    </w:p>
    <w:p w14:paraId="25B00F09"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Transporte e Mobilidade do Bebê;</w:t>
      </w:r>
      <w:r>
        <w:rPr>
          <w:rFonts w:ascii="Arial" w:hAnsi="Arial" w:cs="Arial"/>
        </w:rPr>
      </w:r>
    </w:p>
    <w:p w14:paraId="6E3D9F4A"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Alimentação do Bebê;</w:t>
      </w:r>
      <w:r>
        <w:rPr>
          <w:rFonts w:ascii="Arial" w:hAnsi="Arial" w:cs="Arial"/>
        </w:rPr>
      </w:r>
    </w:p>
    <w:p w14:paraId="4D14D49D"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Itens para a Mãe no Pós-Parto.</w:t>
      </w:r>
      <w:r>
        <w:rPr>
          <w:rFonts w:ascii="Arial" w:hAnsi="Arial" w:cs="Arial"/>
        </w:rPr>
      </w:r>
    </w:p>
    <w:p w14:paraId="332D7941" w14:textId="77777777">
      <w:pPr>
        <w:pBdr/>
        <w:spacing w:line="360" w:lineRule="auto"/>
        <w:ind/>
        <w:jc w:val="both"/>
        <w:rPr>
          <w:rFonts w:ascii="Arial" w:hAnsi="Arial" w:cs="Arial"/>
        </w:rPr>
      </w:pPr>
      <w:r>
        <w:rPr>
          <w:rFonts w:ascii="Arial" w:hAnsi="Arial" w:cs="Arial"/>
        </w:rPr>
        <w:t xml:space="preserve">4.2. Entrega dos Cartões</w:t>
      </w:r>
      <w:r>
        <w:rPr>
          <w:rFonts w:ascii="Arial" w:hAnsi="Arial" w:cs="Arial"/>
        </w:rPr>
      </w:r>
    </w:p>
    <w:p w14:paraId="729193DE" w14:textId="77777777">
      <w:pPr>
        <w:pBdr/>
        <w:spacing w:line="360" w:lineRule="auto"/>
        <w:ind/>
        <w:jc w:val="both"/>
        <w:rPr>
          <w:rFonts w:ascii="Arial" w:hAnsi="Arial" w:cs="Arial"/>
        </w:rPr>
      </w:pPr>
      <w:r>
        <w:rPr>
          <w:rFonts w:ascii="Arial" w:hAnsi="Arial" w:cs="Arial"/>
        </w:rPr>
        <w:t xml:space="preserve">Até 15 (quinze) dias, </w:t>
      </w:r>
      <w:r>
        <w:rPr>
          <w:rFonts w:ascii="Arial" w:hAnsi="Arial" w:cs="Arial"/>
        </w:rPr>
        <w:t xml:space="preserve">contados da conclusão do credenciamento inicial, a Contratada deverá realizar a entrega dos cartões magnéticos na Secretaria Municipal de Promoção e Assistência Social de Rondonópolis-MT, acompanhada da relação atualizada dos estabelecimentos credenciados.</w:t>
      </w:r>
      <w:r>
        <w:rPr>
          <w:rFonts w:ascii="Arial" w:hAnsi="Arial" w:cs="Arial"/>
        </w:rPr>
      </w:r>
    </w:p>
    <w:p w14:paraId="55E2A302" w14:textId="77777777">
      <w:pPr>
        <w:pBdr/>
        <w:spacing w:line="360" w:lineRule="auto"/>
        <w:ind/>
        <w:jc w:val="both"/>
        <w:rPr>
          <w:rFonts w:ascii="Arial" w:hAnsi="Arial" w:cs="Arial"/>
        </w:rPr>
      </w:pPr>
      <w:r>
        <w:rPr>
          <w:rFonts w:ascii="Arial" w:hAnsi="Arial" w:cs="Arial"/>
        </w:rPr>
        <w:t xml:space="preserve">4.3. Comunicação de Impedimentos</w:t>
      </w:r>
      <w:r>
        <w:rPr>
          <w:rFonts w:ascii="Arial" w:hAnsi="Arial" w:cs="Arial"/>
        </w:rPr>
      </w:r>
    </w:p>
    <w:p w14:paraId="72946B33" w14:textId="77777777">
      <w:pPr>
        <w:pBdr/>
        <w:spacing w:line="360" w:lineRule="auto"/>
        <w:ind/>
        <w:jc w:val="both"/>
        <w:rPr>
          <w:rFonts w:ascii="Arial" w:hAnsi="Arial" w:cs="Arial"/>
        </w:rPr>
      </w:pPr>
      <w:r>
        <w:rPr>
          <w:rFonts w:ascii="Arial" w:hAnsi="Arial" w:cs="Arial"/>
        </w:rPr>
        <w:t xml:space="preserve">A Contratada deverá comunicar </w:t>
      </w:r>
      <w:r>
        <w:rPr>
          <w:rFonts w:ascii="Arial" w:hAnsi="Arial" w:cs="Arial"/>
        </w:rPr>
        <w:t xml:space="preserve">formalmente à Contratante, no prazo máximo de 24 (vinte e quatro) horas anteriores à data prevista para a entrega, qualquer fato superveniente que possa comprometer o cumprimento dos prazos contratuais, devidamente justificado e comprovado documentalmente.</w:t>
      </w:r>
      <w:r>
        <w:rPr>
          <w:rFonts w:ascii="Arial" w:hAnsi="Arial" w:cs="Arial"/>
        </w:rPr>
      </w:r>
    </w:p>
    <w:p w14:paraId="42E17DCF" w14:textId="77777777">
      <w:pPr>
        <w:pBdr/>
        <w:spacing w:line="360" w:lineRule="auto"/>
        <w:ind/>
        <w:jc w:val="both"/>
        <w:rPr>
          <w:rFonts w:ascii="Arial" w:hAnsi="Arial" w:cs="Arial"/>
        </w:rPr>
      </w:pPr>
      <w:r>
        <w:rPr>
          <w:rFonts w:ascii="Arial" w:hAnsi="Arial" w:cs="Arial"/>
        </w:rPr>
        <w:t xml:space="preserve">4.4. Capacitação Técnica</w:t>
      </w:r>
      <w:r>
        <w:rPr>
          <w:rFonts w:ascii="Arial" w:hAnsi="Arial" w:cs="Arial"/>
        </w:rPr>
      </w:r>
    </w:p>
    <w:p w14:paraId="5FA458D2" w14:textId="77777777">
      <w:pPr>
        <w:pBdr/>
        <w:spacing w:line="360" w:lineRule="auto"/>
        <w:ind/>
        <w:jc w:val="both"/>
        <w:rPr>
          <w:rFonts w:ascii="Arial" w:hAnsi="Arial" w:cs="Arial"/>
        </w:rPr>
      </w:pPr>
      <w:r>
        <w:rPr>
          <w:rFonts w:ascii="Arial" w:hAnsi="Arial" w:cs="Arial"/>
        </w:rPr>
        <w:t xml:space="preserve">A Cont</w:t>
      </w:r>
      <w:r>
        <w:rPr>
          <w:rFonts w:ascii="Arial" w:hAnsi="Arial" w:cs="Arial"/>
        </w:rPr>
        <w:t xml:space="preserve">ratada deverá capacitar os servidores e técnicos responsáveis pela concessão e operacionalização do benefício, garantindo pleno domínio sobre todas as funcionalidades do sistema, inclusive procedimentos de carga, consulta, bloqueio e emissão de relatórios.</w:t>
      </w:r>
      <w:r>
        <w:rPr>
          <w:rFonts w:ascii="Arial" w:hAnsi="Arial" w:cs="Arial"/>
        </w:rPr>
      </w:r>
    </w:p>
    <w:p w14:paraId="3EF05C56" w14:textId="77777777">
      <w:pPr>
        <w:pBdr/>
        <w:spacing w:line="360" w:lineRule="auto"/>
        <w:ind/>
        <w:jc w:val="both"/>
        <w:rPr>
          <w:rFonts w:ascii="Arial" w:hAnsi="Arial" w:cs="Arial"/>
        </w:rPr>
      </w:pPr>
      <w:r>
        <w:rPr>
          <w:rFonts w:ascii="Arial" w:hAnsi="Arial" w:cs="Arial"/>
        </w:rPr>
        <w:t xml:space="preserve">4.5. Fornecimento e Uso dos Cartões</w:t>
      </w:r>
      <w:r>
        <w:rPr>
          <w:rFonts w:ascii="Arial" w:hAnsi="Arial" w:cs="Arial"/>
        </w:rPr>
      </w:r>
    </w:p>
    <w:p w14:paraId="2613263C" w14:textId="77777777">
      <w:pPr>
        <w:pBdr/>
        <w:spacing w:line="360" w:lineRule="auto"/>
        <w:ind/>
        <w:jc w:val="both"/>
        <w:rPr>
          <w:rFonts w:ascii="Arial" w:hAnsi="Arial" w:cs="Arial"/>
        </w:rPr>
      </w:pPr>
      <w:r>
        <w:rPr>
          <w:rFonts w:ascii="Arial" w:hAnsi="Arial" w:cs="Arial"/>
        </w:rPr>
        <w:t xml:space="preserve">Os cartões magnéticos deverão possibilitar exclusivamente a aquisição de produtos destinados ao Auxílio Natalidade, sendo vedada a compra de bebidas alcoólicas, cigarros e quaisquer itens incompatíveis com as diretrizes da política de assistência social.</w:t>
      </w:r>
      <w:r>
        <w:rPr>
          <w:rFonts w:ascii="Arial" w:hAnsi="Arial" w:cs="Arial"/>
        </w:rPr>
      </w:r>
    </w:p>
    <w:p w14:paraId="47AEA137" w14:textId="77777777">
      <w:pPr>
        <w:pBdr/>
        <w:spacing w:line="360" w:lineRule="auto"/>
        <w:ind/>
        <w:jc w:val="both"/>
        <w:rPr>
          <w:rFonts w:ascii="Arial" w:hAnsi="Arial" w:cs="Arial"/>
          <w:b/>
          <w:bCs/>
        </w:rPr>
      </w:pPr>
      <w:r>
        <w:rPr>
          <w:rFonts w:ascii="Arial" w:hAnsi="Arial" w:cs="Arial"/>
        </w:rPr>
        <w:t xml:space="preserve">A confecção dos cartões deverá contemplar a logomarca institucional do Município ou da Secretaria, bem como a inscrição: </w:t>
      </w:r>
      <w:r>
        <w:rPr>
          <w:rFonts w:ascii="Arial" w:hAnsi="Arial" w:cs="Arial"/>
          <w:b/>
          <w:bCs/>
        </w:rPr>
        <w:t xml:space="preserve">“PROIBIDA A VENDA DE BEBIDAS ALCOÓLICAS E CIGARROS”.</w:t>
      </w:r>
      <w:r>
        <w:rPr>
          <w:rFonts w:ascii="Arial" w:hAnsi="Arial" w:cs="Arial"/>
          <w:b/>
          <w:bCs/>
        </w:rPr>
      </w:r>
    </w:p>
    <w:p w14:paraId="116B9785" w14:textId="77777777">
      <w:pPr>
        <w:pBdr/>
        <w:spacing w:line="360" w:lineRule="auto"/>
        <w:ind/>
        <w:jc w:val="both"/>
        <w:rPr>
          <w:rFonts w:ascii="Arial" w:hAnsi="Arial" w:cs="Arial"/>
        </w:rPr>
      </w:pPr>
      <w:r>
        <w:rPr>
          <w:rFonts w:ascii="Arial" w:hAnsi="Arial" w:cs="Arial"/>
        </w:rPr>
        <w:t xml:space="preserve">4.6. Processamento e Segurança</w:t>
      </w:r>
      <w:r>
        <w:rPr>
          <w:rFonts w:ascii="Arial" w:hAnsi="Arial" w:cs="Arial"/>
        </w:rPr>
      </w:r>
    </w:p>
    <w:p w14:paraId="67A0894E" w14:textId="77777777">
      <w:pPr>
        <w:pBdr/>
        <w:spacing w:line="360" w:lineRule="auto"/>
        <w:ind/>
        <w:jc w:val="both"/>
        <w:rPr>
          <w:rFonts w:ascii="Arial" w:hAnsi="Arial" w:cs="Arial"/>
        </w:rPr>
      </w:pPr>
      <w:r>
        <w:rPr>
          <w:rFonts w:ascii="Arial" w:hAnsi="Arial" w:cs="Arial"/>
        </w:rPr>
        <w:t xml:space="preserve">A Contratada</w:t>
      </w:r>
      <w:r>
        <w:rPr>
          <w:rFonts w:ascii="Arial" w:hAnsi="Arial" w:cs="Arial"/>
        </w:rPr>
        <w:t xml:space="preserve"> será responsável pelo processamento das cargas eletrônicas, pela implantação de sistema de controle de saldo, utilização de senha pessoal e intransferível, bem como por assegurar a segurança da informação, a rastreabilidade e a privacidade das transações.</w:t>
      </w:r>
      <w:r>
        <w:rPr>
          <w:rFonts w:ascii="Arial" w:hAnsi="Arial" w:cs="Arial"/>
        </w:rPr>
      </w:r>
    </w:p>
    <w:p w14:paraId="14C053D3" w14:textId="77777777">
      <w:pPr>
        <w:pBdr/>
        <w:spacing w:line="360" w:lineRule="auto"/>
        <w:ind/>
        <w:jc w:val="both"/>
        <w:rPr>
          <w:rFonts w:ascii="Arial" w:hAnsi="Arial" w:cs="Arial"/>
        </w:rPr>
      </w:pPr>
      <w:r>
        <w:rPr>
          <w:rFonts w:ascii="Arial" w:hAnsi="Arial" w:cs="Arial"/>
        </w:rPr>
        <w:t xml:space="preserve">O saldo eventualmente não utilizado no prazo de 90 (noventa) dias, contado da disponibilização do crédito ao beneficiário, deverá retornar automaticamente à conta indicada pela Administração, sem prejuízo da rastreabilidade contábil e financeira.</w:t>
      </w:r>
      <w:r>
        <w:rPr>
          <w:rFonts w:ascii="Arial" w:hAnsi="Arial" w:cs="Arial"/>
        </w:rPr>
      </w:r>
    </w:p>
    <w:p w14:paraId="315C7B01" w14:textId="77777777">
      <w:pPr>
        <w:pBdr/>
        <w:spacing w:line="360" w:lineRule="auto"/>
        <w:ind/>
        <w:jc w:val="both"/>
        <w:rPr>
          <w:rFonts w:ascii="Arial" w:hAnsi="Arial" w:cs="Arial"/>
        </w:rPr>
      </w:pPr>
      <w:r>
        <w:rPr>
          <w:rFonts w:ascii="Arial" w:hAnsi="Arial" w:cs="Arial"/>
        </w:rPr>
        <w:t xml:space="preserve">4.7. Recarga e Relatórios</w:t>
      </w:r>
      <w:r>
        <w:rPr>
          <w:rFonts w:ascii="Arial" w:hAnsi="Arial" w:cs="Arial"/>
        </w:rPr>
      </w:r>
    </w:p>
    <w:p w14:paraId="43E7956D" w14:textId="77777777">
      <w:pPr>
        <w:pBdr/>
        <w:spacing w:line="360" w:lineRule="auto"/>
        <w:ind/>
        <w:jc w:val="both"/>
        <w:rPr>
          <w:rFonts w:ascii="Arial" w:hAnsi="Arial" w:cs="Arial"/>
        </w:rPr>
      </w:pPr>
      <w:r>
        <w:rPr>
          <w:rFonts w:ascii="Arial" w:hAnsi="Arial" w:cs="Arial"/>
        </w:rPr>
        <w:t xml:space="preserve">As recargas serão solicitadas formalmente pela Contratante, devendo ser processadas pela Contratada no prazo máximo de 24 (vinte e quatro) horas.</w:t>
      </w:r>
      <w:r>
        <w:rPr>
          <w:rFonts w:ascii="Arial" w:hAnsi="Arial" w:cs="Arial"/>
        </w:rPr>
      </w:r>
    </w:p>
    <w:p w14:paraId="265C5C0D" w14:textId="77777777">
      <w:pPr>
        <w:pBdr/>
        <w:spacing w:line="360" w:lineRule="auto"/>
        <w:ind/>
        <w:jc w:val="both"/>
        <w:rPr>
          <w:rFonts w:ascii="Arial" w:hAnsi="Arial" w:cs="Arial"/>
        </w:rPr>
      </w:pPr>
      <w:r>
        <w:rPr>
          <w:rFonts w:ascii="Arial" w:hAnsi="Arial" w:cs="Arial"/>
        </w:rPr>
        <w:t xml:space="preserve">A Contratada deverá disponibilizar tecnologia que permita:</w:t>
      </w:r>
      <w:r>
        <w:rPr>
          <w:rFonts w:ascii="Arial" w:hAnsi="Arial" w:cs="Arial"/>
        </w:rPr>
      </w:r>
    </w:p>
    <w:p w14:paraId="40443650"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acompanhamento individualizado dos créditos;</w:t>
      </w:r>
      <w:r>
        <w:rPr>
          <w:rFonts w:ascii="Arial" w:hAnsi="Arial" w:cs="Arial"/>
        </w:rPr>
      </w:r>
    </w:p>
    <w:p w14:paraId="13E481DE"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emissão de relatórios gerenciais e de conferência;</w:t>
      </w:r>
      <w:r>
        <w:rPr>
          <w:rFonts w:ascii="Arial" w:hAnsi="Arial" w:cs="Arial"/>
        </w:rPr>
      </w:r>
    </w:p>
    <w:p w14:paraId="4056DD37"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suporte técnico contínuo para a plena operacionalização do sistema</w:t>
      </w:r>
      <w:r>
        <w:rPr>
          <w:rFonts w:ascii="Arial" w:hAnsi="Arial" w:cs="Arial"/>
        </w:rPr>
      </w:r>
    </w:p>
    <w:p w14:paraId="5F717054" w14:textId="77777777">
      <w:pPr>
        <w:pBdr/>
        <w:spacing w:line="360" w:lineRule="auto"/>
        <w:ind/>
        <w:jc w:val="both"/>
        <w:rPr>
          <w:rFonts w:ascii="Arial" w:hAnsi="Arial" w:cs="Arial"/>
        </w:rPr>
      </w:pPr>
      <w:r>
        <w:rPr>
          <w:rFonts w:ascii="Arial" w:hAnsi="Arial" w:cs="Arial"/>
        </w:rPr>
        <w:t xml:space="preserve">4.8. Quantitativo Estimado</w:t>
      </w:r>
      <w:r>
        <w:rPr>
          <w:rFonts w:ascii="Arial" w:hAnsi="Arial" w:cs="Arial"/>
        </w:rPr>
      </w:r>
    </w:p>
    <w:p w14:paraId="1DEF2F31" w14:textId="77777777">
      <w:pPr>
        <w:pBdr/>
        <w:spacing w:line="360" w:lineRule="auto"/>
        <w:ind/>
        <w:jc w:val="both"/>
        <w:rPr>
          <w:rFonts w:ascii="Arial" w:hAnsi="Arial" w:cs="Arial"/>
        </w:rPr>
      </w:pPr>
      <w:r>
        <w:rPr>
          <w:rFonts w:ascii="Arial" w:hAnsi="Arial" w:cs="Arial"/>
        </w:rPr>
        <w:t xml:space="preserve">A estimativa contratual é de 3.000 (três mil) unidades de cartões magnéticos, com crédito pré-carregado de R$ 750,00 (setecentos e cinquenta reais) cada, em caráter estimativo, conforme a sistemática do Registro de Preços, correspondendo a:</w:t>
      </w:r>
      <w:r>
        <w:rPr>
          <w:rFonts w:ascii="Arial" w:hAnsi="Arial" w:cs="Arial"/>
        </w:rPr>
      </w:r>
    </w:p>
    <w:p w14:paraId="7BF23B1F" w14:textId="77777777">
      <w:pPr>
        <w:pBdr/>
        <w:spacing w:line="360" w:lineRule="auto"/>
        <w:ind/>
        <w:jc w:val="both"/>
        <w:rPr>
          <w:rFonts w:ascii="Arial" w:hAnsi="Arial" w:cs="Arial"/>
        </w:rPr>
      </w:pPr>
      <w:r>
        <w:rPr>
          <w:rFonts w:ascii="Arial" w:hAnsi="Arial" w:cs="Arial"/>
        </w:rPr>
        <w:t xml:space="preserve">3.000 cartões × R$ 750,00 = R$ 2.250.000,00</w:t>
      </w:r>
      <w:r>
        <w:rPr>
          <w:rFonts w:ascii="Arial" w:hAnsi="Arial" w:cs="Arial"/>
        </w:rPr>
      </w:r>
    </w:p>
    <w:p w14:paraId="16D309AD" w14:textId="77777777">
      <w:pPr>
        <w:pBdr/>
        <w:spacing w:line="360" w:lineRule="auto"/>
        <w:ind/>
        <w:jc w:val="both"/>
        <w:rPr>
          <w:rFonts w:ascii="Arial" w:hAnsi="Arial" w:cs="Arial"/>
        </w:rPr>
      </w:pPr>
      <w:r>
        <w:rPr>
          <w:rFonts w:ascii="Arial" w:hAnsi="Arial" w:cs="Arial"/>
        </w:rPr>
        <w:t xml:space="preserve">Taxa de administração (máx. 3,00%) = R$ 67.500,00</w:t>
      </w:r>
      <w:r>
        <w:rPr>
          <w:rFonts w:ascii="Arial" w:hAnsi="Arial" w:cs="Arial"/>
        </w:rPr>
      </w:r>
    </w:p>
    <w:p w14:paraId="3926FD9A" w14:textId="77777777">
      <w:pPr>
        <w:pBdr/>
        <w:spacing w:line="360" w:lineRule="auto"/>
        <w:ind/>
        <w:jc w:val="both"/>
        <w:rPr>
          <w:rFonts w:ascii="Arial" w:hAnsi="Arial" w:cs="Arial"/>
        </w:rPr>
      </w:pPr>
      <w:r>
        <w:rPr>
          <w:rFonts w:ascii="Arial" w:hAnsi="Arial" w:cs="Arial"/>
        </w:rPr>
        <w:t xml:space="preserve">Valor global estimado: R$ 2.317.500,00 ( Dois milhões, trezentos e dezessete mil e quinhentos reais), com recursos estaduais oriundos do Fundo Municipal de Promoção e Assistência Social.</w:t>
      </w:r>
      <w:r>
        <w:rPr>
          <w:rFonts w:ascii="Arial" w:hAnsi="Arial" w:cs="Arial"/>
        </w:rPr>
      </w:r>
    </w:p>
    <w:p w14:paraId="27DBC8ED" w14:textId="77777777">
      <w:pPr>
        <w:pBdr/>
        <w:spacing w:line="360" w:lineRule="auto"/>
        <w:ind/>
        <w:jc w:val="both"/>
        <w:rPr>
          <w:rFonts w:ascii="Arial" w:hAnsi="Arial" w:cs="Arial"/>
        </w:rPr>
      </w:pPr>
      <w:r>
        <w:rPr>
          <w:rFonts w:ascii="Arial" w:hAnsi="Arial" w:cs="Arial"/>
        </w:rPr>
        <w:t xml:space="preserve">4.9. Fundamentação da Estimativa</w:t>
      </w:r>
      <w:r>
        <w:rPr>
          <w:rFonts w:ascii="Arial" w:hAnsi="Arial" w:cs="Arial"/>
        </w:rPr>
      </w:r>
    </w:p>
    <w:p w14:paraId="35B7E69E" w14:textId="77777777">
      <w:pPr>
        <w:pBdr/>
        <w:spacing w:line="360" w:lineRule="auto"/>
        <w:ind/>
        <w:jc w:val="both"/>
        <w:rPr>
          <w:rFonts w:ascii="Arial" w:hAnsi="Arial" w:cs="Arial"/>
        </w:rPr>
      </w:pPr>
      <w:r>
        <w:rPr>
          <w:rFonts w:ascii="Arial" w:hAnsi="Arial" w:cs="Arial"/>
        </w:rPr>
        <w:t xml:space="preserve">A quantidade estimada baseia-se:</w:t>
      </w:r>
      <w:r>
        <w:rPr>
          <w:rFonts w:ascii="Arial" w:hAnsi="Arial" w:cs="Arial"/>
        </w:rPr>
      </w:r>
    </w:p>
    <w:p w14:paraId="6B170FEA" w14:textId="77777777">
      <w:pPr>
        <w:pBdr/>
        <w:spacing w:line="360" w:lineRule="auto"/>
        <w:ind/>
        <w:jc w:val="both"/>
        <w:rPr>
          <w:rFonts w:ascii="Arial" w:hAnsi="Arial" w:cs="Arial"/>
        </w:rPr>
      </w:pPr>
      <w:r>
        <w:rPr>
          <w:rFonts w:ascii="Arial" w:hAnsi="Arial" w:cs="Arial"/>
        </w:rPr>
        <w:t xml:space="preserve">a) na média histórica de nascimentos em famílias em situação de vulnerabilidade social acompanhadas pela rede socioassistencial do Município;</w:t>
      </w:r>
      <w:r>
        <w:rPr>
          <w:rFonts w:ascii="Arial" w:hAnsi="Arial" w:cs="Arial"/>
        </w:rPr>
      </w:r>
    </w:p>
    <w:p w14:paraId="6ECA8003" w14:textId="77777777">
      <w:pPr>
        <w:pBdr/>
        <w:spacing w:line="360" w:lineRule="auto"/>
        <w:ind/>
        <w:jc w:val="both"/>
        <w:rPr>
          <w:rFonts w:ascii="Arial" w:hAnsi="Arial" w:cs="Arial"/>
        </w:rPr>
      </w:pPr>
      <w:r>
        <w:rPr>
          <w:rFonts w:ascii="Arial" w:hAnsi="Arial" w:cs="Arial"/>
        </w:rPr>
        <w:t xml:space="preserve">b) na projeção demográfica para o exercício vigente;</w:t>
      </w:r>
      <w:r>
        <w:rPr>
          <w:rFonts w:ascii="Arial" w:hAnsi="Arial" w:cs="Arial"/>
        </w:rPr>
      </w:r>
    </w:p>
    <w:p w14:paraId="699DE49B" w14:textId="77777777">
      <w:pPr>
        <w:pBdr/>
        <w:spacing w:line="360" w:lineRule="auto"/>
        <w:ind/>
        <w:jc w:val="both"/>
        <w:rPr>
          <w:rFonts w:ascii="Arial" w:hAnsi="Arial" w:cs="Arial"/>
        </w:rPr>
      </w:pPr>
      <w:r>
        <w:rPr>
          <w:rFonts w:ascii="Arial" w:hAnsi="Arial" w:cs="Arial"/>
        </w:rPr>
        <w:t xml:space="preserve">c) na margem técnica de segurança para eventos imprevistos, ações de busca ativa e intensificação do acompanhamento pré-natal.</w:t>
      </w:r>
      <w:r>
        <w:rPr>
          <w:rFonts w:ascii="Arial" w:hAnsi="Arial" w:cs="Arial"/>
        </w:rPr>
      </w:r>
    </w:p>
    <w:p w14:paraId="6957EF57" w14:textId="77777777">
      <w:pPr>
        <w:pBdr/>
        <w:spacing w:line="360" w:lineRule="auto"/>
        <w:ind/>
        <w:jc w:val="both"/>
        <w:rPr>
          <w:rFonts w:ascii="Arial" w:hAnsi="Arial" w:cs="Arial"/>
        </w:rPr>
      </w:pPr>
      <w:r>
        <w:rPr>
          <w:rFonts w:ascii="Arial" w:hAnsi="Arial" w:cs="Arial"/>
        </w:rPr>
        <w:t xml:space="preserve">4.10. Aplicativo de Consulta</w:t>
      </w:r>
      <w:r>
        <w:rPr>
          <w:rFonts w:ascii="Arial" w:hAnsi="Arial" w:cs="Arial"/>
        </w:rPr>
      </w:r>
    </w:p>
    <w:p w14:paraId="6D85BF0F" w14:textId="77777777">
      <w:pPr>
        <w:pBdr/>
        <w:spacing w:line="360" w:lineRule="auto"/>
        <w:ind/>
        <w:jc w:val="both"/>
        <w:rPr>
          <w:rFonts w:ascii="Arial" w:hAnsi="Arial" w:cs="Arial"/>
        </w:rPr>
      </w:pPr>
      <w:r>
        <w:rPr>
          <w:rFonts w:ascii="Arial" w:hAnsi="Arial" w:cs="Arial"/>
        </w:rPr>
        <w:t xml:space="preserve">A Contratada deverá comprovar a disponibilidade de aplicativo compatível com os sistemas Android e iOS, que permita consulta de saldo, extrato, rede credenciada e acesso direto aos canais de suporte.</w:t>
      </w:r>
      <w:r>
        <w:rPr>
          <w:rFonts w:ascii="Arial" w:hAnsi="Arial" w:cs="Arial"/>
        </w:rPr>
      </w:r>
    </w:p>
    <w:p w14:paraId="3EFF9637" w14:textId="77777777">
      <w:pPr>
        <w:pBdr/>
        <w:spacing w:line="360" w:lineRule="auto"/>
        <w:ind/>
        <w:jc w:val="both"/>
        <w:rPr>
          <w:rFonts w:ascii="Arial" w:hAnsi="Arial" w:cs="Arial"/>
        </w:rPr>
      </w:pPr>
      <w:r>
        <w:rPr>
          <w:rFonts w:ascii="Arial" w:hAnsi="Arial" w:cs="Arial"/>
        </w:rPr>
        <w:t xml:space="preserve">4.11. Atendimento e Manutenção</w:t>
      </w:r>
      <w:r>
        <w:rPr>
          <w:rFonts w:ascii="Arial" w:hAnsi="Arial" w:cs="Arial"/>
        </w:rPr>
      </w:r>
    </w:p>
    <w:p w14:paraId="6E3287E1" w14:textId="77777777">
      <w:pPr>
        <w:pBdr/>
        <w:spacing w:line="360" w:lineRule="auto"/>
        <w:ind/>
        <w:jc w:val="both"/>
        <w:rPr>
          <w:rFonts w:ascii="Arial" w:hAnsi="Arial" w:cs="Arial"/>
        </w:rPr>
      </w:pPr>
      <w:r>
        <w:rPr>
          <w:rFonts w:ascii="Arial" w:hAnsi="Arial" w:cs="Arial"/>
        </w:rPr>
        <w:t xml:space="preserve">A Contratada deverá:</w:t>
      </w:r>
      <w:r>
        <w:rPr>
          <w:rFonts w:ascii="Arial" w:hAnsi="Arial" w:cs="Arial"/>
        </w:rPr>
      </w:r>
    </w:p>
    <w:p w14:paraId="2393C304" w14:textId="77777777">
      <w:pPr>
        <w:pBdr/>
        <w:spacing w:line="360" w:lineRule="auto"/>
        <w:ind/>
        <w:jc w:val="both"/>
        <w:rPr>
          <w:rFonts w:ascii="Arial" w:hAnsi="Arial" w:cs="Arial"/>
        </w:rPr>
      </w:pPr>
      <w:r>
        <w:rPr>
          <w:rFonts w:ascii="Arial" w:hAnsi="Arial" w:cs="Arial"/>
        </w:rPr>
        <w:t xml:space="preserve">a) garantir assistência técnica em até 2 (duas) horas após a solicitação;</w:t>
      </w:r>
      <w:r>
        <w:rPr>
          <w:rFonts w:ascii="Arial" w:hAnsi="Arial" w:cs="Arial"/>
        </w:rPr>
      </w:r>
    </w:p>
    <w:p w14:paraId="76AD4917" w14:textId="77777777">
      <w:pPr>
        <w:pBdr/>
        <w:spacing w:line="360" w:lineRule="auto"/>
        <w:ind/>
        <w:jc w:val="both"/>
        <w:rPr>
          <w:rFonts w:ascii="Arial" w:hAnsi="Arial" w:cs="Arial"/>
        </w:rPr>
      </w:pPr>
      <w:r>
        <w:rPr>
          <w:rFonts w:ascii="Arial" w:hAnsi="Arial" w:cs="Arial"/>
        </w:rPr>
        <w:t xml:space="preserve">b) disponibilizar canais de atendimento ao usuário e à Administração (0800, site e/ou aplicativo);</w:t>
      </w:r>
      <w:r>
        <w:rPr>
          <w:rFonts w:ascii="Arial" w:hAnsi="Arial" w:cs="Arial"/>
        </w:rPr>
      </w:r>
    </w:p>
    <w:p w14:paraId="70D9F2FC" w14:textId="77777777">
      <w:pPr>
        <w:pBdr/>
        <w:spacing w:line="360" w:lineRule="auto"/>
        <w:ind/>
        <w:jc w:val="both"/>
        <w:rPr>
          <w:rFonts w:ascii="Arial" w:hAnsi="Arial" w:cs="Arial"/>
        </w:rPr>
      </w:pPr>
      <w:r>
        <w:rPr>
          <w:rFonts w:ascii="Arial" w:hAnsi="Arial" w:cs="Arial"/>
        </w:rPr>
        <w:t xml:space="preserve">c) realizar credenciamento adicional de estabelecimentos, quando solicitado pela Contratante, no prazo máximo de 20 (vinte) dias.</w:t>
      </w:r>
      <w:r>
        <w:rPr>
          <w:rFonts w:ascii="Arial" w:hAnsi="Arial" w:cs="Arial"/>
        </w:rPr>
      </w:r>
    </w:p>
    <w:p w14:paraId="744BA2A8" w14:textId="77777777">
      <w:pPr>
        <w:pBdr/>
        <w:spacing w:line="360" w:lineRule="auto"/>
        <w:ind/>
        <w:jc w:val="both"/>
        <w:rPr>
          <w:rFonts w:ascii="Arial" w:hAnsi="Arial" w:cs="Arial"/>
        </w:rPr>
      </w:pPr>
      <w:r>
        <w:rPr>
          <w:rFonts w:ascii="Arial" w:hAnsi="Arial" w:cs="Arial"/>
        </w:rPr>
        <w:t xml:space="preserve">4.12. Condições de Habilitação</w:t>
      </w:r>
      <w:r>
        <w:rPr>
          <w:rFonts w:ascii="Arial" w:hAnsi="Arial" w:cs="Arial"/>
        </w:rPr>
      </w:r>
    </w:p>
    <w:p w14:paraId="14AC03A4" w14:textId="77777777">
      <w:pPr>
        <w:pBdr/>
        <w:spacing w:line="360" w:lineRule="auto"/>
        <w:ind/>
        <w:jc w:val="both"/>
        <w:rPr>
          <w:rFonts w:ascii="Arial" w:hAnsi="Arial" w:cs="Arial"/>
        </w:rPr>
      </w:pPr>
      <w:r>
        <w:rPr>
          <w:rFonts w:ascii="Arial" w:hAnsi="Arial" w:cs="Arial"/>
        </w:rPr>
        <w:t xml:space="preserve">A Contratada deverá manter, durante toda a execução contratual, todas as condições de habilitação e qualificação exigidas no certame licitatório, nos termos da Lei nº 14.133/2021.</w:t>
      </w:r>
      <w:r>
        <w:rPr>
          <w:rFonts w:ascii="Arial" w:hAnsi="Arial" w:cs="Arial"/>
        </w:rPr>
      </w:r>
    </w:p>
    <w:p w14:paraId="261460C1" w14:textId="77777777">
      <w:pPr>
        <w:pBdr/>
        <w:spacing w:line="360" w:lineRule="auto"/>
        <w:ind/>
        <w:jc w:val="both"/>
        <w:rPr>
          <w:rFonts w:ascii="Arial" w:hAnsi="Arial" w:cs="Arial"/>
        </w:rPr>
      </w:pPr>
      <w:r>
        <w:rPr>
          <w:rFonts w:ascii="Arial" w:hAnsi="Arial" w:cs="Arial"/>
        </w:rPr>
      </w:r>
      <w:r>
        <w:rPr>
          <w:rFonts w:ascii="Arial" w:hAnsi="Arial" w:cs="Arial"/>
        </w:rPr>
      </w:r>
    </w:p>
    <w:p w14:paraId="76D08C19" w14:textId="77777777">
      <w:pPr>
        <w:pBdr/>
        <w:spacing w:line="360" w:lineRule="auto"/>
        <w:ind/>
        <w:jc w:val="both"/>
        <w:rPr>
          <w:rFonts w:ascii="Arial" w:hAnsi="Arial" w:cs="Arial"/>
        </w:rPr>
      </w:pPr>
      <w:r>
        <w:rPr>
          <w:rFonts w:ascii="Arial" w:hAnsi="Arial" w:cs="Arial"/>
        </w:rPr>
        <w:t xml:space="preserve">ITENS DE SEGURANÇA MÍNIMAS EXIGIDAS NO SISTEMA PARA ATENDER AO ÓRGÃO</w:t>
      </w:r>
      <w:r>
        <w:rPr>
          <w:rFonts w:ascii="Arial" w:hAnsi="Arial" w:cs="Arial"/>
        </w:rPr>
      </w:r>
    </w:p>
    <w:p w14:paraId="399B9FEE" w14:textId="77777777">
      <w:pPr>
        <w:pBdr/>
        <w:spacing w:line="360" w:lineRule="auto"/>
        <w:ind/>
        <w:jc w:val="both"/>
        <w:rPr>
          <w:rFonts w:ascii="Arial" w:hAnsi="Arial" w:cs="Arial"/>
        </w:rPr>
      </w:pPr>
      <w:r>
        <w:rPr>
          <w:rFonts w:ascii="Arial" w:hAnsi="Arial" w:cs="Arial"/>
        </w:rPr>
        <w:t xml:space="preserve">A redundância é uma preocupação </w:t>
      </w:r>
      <w:r>
        <w:rPr>
          <w:rFonts w:ascii="Arial" w:hAnsi="Arial" w:cs="Arial"/>
        </w:rPr>
        <w:t xml:space="preserve">fundamental na operação de infraestruturas críticas, principalmente em empresas que lidam com dados de terceiros e soluções de pagamento. Além das citações realizadas pelos principais frameworks e normas que regem o processo de segurança, podemos destacar:</w:t>
      </w:r>
      <w:r>
        <w:rPr>
          <w:rFonts w:ascii="Arial" w:hAnsi="Arial" w:cs="Arial"/>
        </w:rPr>
      </w:r>
    </w:p>
    <w:p w14:paraId="22534940" w14:textId="77777777">
      <w:pPr>
        <w:pBdr/>
        <w:spacing w:line="360" w:lineRule="auto"/>
        <w:ind/>
        <w:jc w:val="both"/>
        <w:rPr>
          <w:rFonts w:ascii="Arial" w:hAnsi="Arial" w:cs="Arial"/>
        </w:rPr>
      </w:pPr>
      <w:r>
        <w:rPr>
          <w:rFonts w:ascii="Arial" w:hAnsi="Arial" w:cs="Arial"/>
        </w:rPr>
      </w:r>
      <w:r>
        <w:rPr>
          <w:rFonts w:ascii="Arial" w:hAnsi="Arial" w:cs="Arial"/>
        </w:rPr>
      </w:r>
    </w:p>
    <w:p w14:paraId="702DE348" w14:textId="77777777">
      <w:pPr>
        <w:pBdr/>
        <w:spacing w:line="360" w:lineRule="auto"/>
        <w:ind/>
        <w:jc w:val="both"/>
        <w:rPr>
          <w:rFonts w:ascii="Arial" w:hAnsi="Arial" w:cs="Arial"/>
        </w:rPr>
      </w:pPr>
      <w:r>
        <w:rPr>
          <w:rFonts w:ascii="Arial" w:hAnsi="Arial" w:cs="Arial"/>
        </w:rPr>
        <w:t xml:space="preserve">ISO/IEC 27001: Esta norma estabelece um conjunto de controles de segurança da informação que podem ser implementados por organizações para proteger seus ativos de informação. O controle A.17.1.3 – “Contingência de </w:t>
      </w:r>
      <w:r>
        <w:rPr>
          <w:rFonts w:ascii="Arial" w:hAnsi="Arial" w:cs="Arial"/>
        </w:rPr>
        <w:t xml:space="preserve">resposta a incidentes de segurança da informação” – exige que as organizações planejem e implementem medidas de contingência para garantir a continuidade do negócio em caso de falha.</w:t>
      </w:r>
      <w:r>
        <w:rPr>
          <w:rFonts w:ascii="Arial" w:hAnsi="Arial" w:cs="Arial"/>
        </w:rPr>
      </w:r>
    </w:p>
    <w:p w14:paraId="2B75227D" w14:textId="77777777">
      <w:pPr>
        <w:pBdr/>
        <w:spacing w:line="360" w:lineRule="auto"/>
        <w:ind/>
        <w:jc w:val="both"/>
        <w:rPr>
          <w:rFonts w:ascii="Arial" w:hAnsi="Arial" w:cs="Arial"/>
        </w:rPr>
      </w:pPr>
      <w:r>
        <w:rPr>
          <w:rFonts w:ascii="Arial" w:hAnsi="Arial" w:cs="Arial"/>
        </w:rPr>
        <w:t xml:space="preserve">NIST SP 800-61 Rev. 2: Este documento fornece orientações para a resposta a incidentes de seg</w:t>
      </w:r>
      <w:r>
        <w:rPr>
          <w:rFonts w:ascii="Arial" w:hAnsi="Arial" w:cs="Arial"/>
        </w:rPr>
        <w:t xml:space="preserve">urança da informação. A seção 5.1.2 – “Preparação de Contingência e Continuidade de Negócios” – aborda a necessidade de implementar medidas de contingência e continuidade de negócios para garantir que as atividades do SOC possam continuar em caso de falha.</w:t>
      </w:r>
      <w:r>
        <w:rPr>
          <w:rFonts w:ascii="Arial" w:hAnsi="Arial" w:cs="Arial"/>
        </w:rPr>
      </w:r>
    </w:p>
    <w:p w14:paraId="47B8ED73" w14:textId="77777777">
      <w:pPr>
        <w:pBdr/>
        <w:spacing w:line="360" w:lineRule="auto"/>
        <w:ind/>
        <w:jc w:val="both"/>
        <w:rPr>
          <w:rFonts w:ascii="Arial" w:hAnsi="Arial" w:cs="Arial"/>
        </w:rPr>
      </w:pPr>
      <w:r>
        <w:rPr>
          <w:rFonts w:ascii="Arial" w:hAnsi="Arial" w:cs="Arial"/>
        </w:rPr>
        <w:t xml:space="preserve">Conforme as melhores práticas de mercado citadas acima, considera-se obrigatória a exigência de que a CONTRATADA possua serviço de P</w:t>
      </w:r>
      <w:r>
        <w:rPr>
          <w:rFonts w:ascii="Arial" w:hAnsi="Arial" w:cs="Arial"/>
        </w:rPr>
        <w:t xml:space="preserve">roteção contra Riscos Digitais com fornecedor que disponha de dois Centros de Operação de Segurança (SOC) redundantes, próprios, localizados no Brasil, de modo que a indisponibilidade de um deles não afete a prestação dos serviços gerenciados de segurança.</w:t>
      </w:r>
      <w:r>
        <w:rPr>
          <w:rFonts w:ascii="Arial" w:hAnsi="Arial" w:cs="Arial"/>
        </w:rPr>
      </w:r>
    </w:p>
    <w:p w14:paraId="1C7A3F07" w14:textId="77777777">
      <w:pPr>
        <w:pBdr/>
        <w:spacing w:line="360" w:lineRule="auto"/>
        <w:ind/>
        <w:jc w:val="both"/>
        <w:rPr>
          <w:rFonts w:ascii="Arial" w:hAnsi="Arial" w:cs="Arial"/>
        </w:rPr>
      </w:pPr>
      <w:r>
        <w:rPr>
          <w:rFonts w:ascii="Arial" w:hAnsi="Arial" w:cs="Arial"/>
        </w:rPr>
        <w:t xml:space="preserve">Ataques cibernéticos ocorrem de forma contínua. Assim, conside</w:t>
      </w:r>
      <w:r>
        <w:rPr>
          <w:rFonts w:ascii="Arial" w:hAnsi="Arial" w:cs="Arial"/>
        </w:rPr>
        <w:t xml:space="preserve">ra-se obrigatória a exigência de que a CONTRATADA possua serviço de Proteção contra Riscos Digitais ativo em regime 24x7. Tal recomendação é chancelada por institutos reconhecidos no mercado. Entende-se que o monitoramento deve ser contínuo e ininterrupto.</w:t>
      </w:r>
      <w:r>
        <w:rPr>
          <w:rFonts w:ascii="Arial" w:hAnsi="Arial" w:cs="Arial"/>
        </w:rPr>
      </w:r>
    </w:p>
    <w:p w14:paraId="18D0B8C0" w14:textId="77777777">
      <w:pPr>
        <w:pBdr/>
        <w:spacing w:line="360" w:lineRule="auto"/>
        <w:ind/>
        <w:jc w:val="both"/>
        <w:rPr>
          <w:rFonts w:ascii="Arial" w:hAnsi="Arial" w:cs="Arial"/>
        </w:rPr>
      </w:pPr>
      <w:r>
        <w:rPr>
          <w:rFonts w:ascii="Arial" w:hAnsi="Arial" w:cs="Arial"/>
        </w:rPr>
        <w:t xml:space="preserve">O ambiente de hospedagem de sistemas deverá garantir segurança conforme normas ABNT NBR ISO/IEC 27001, assegurando controles rígidos e auditáveis de acesso físico e lógico às informações, bem como monitoramento constante.</w:t>
      </w:r>
      <w:r>
        <w:rPr>
          <w:rFonts w:ascii="Arial" w:hAnsi="Arial" w:cs="Arial"/>
        </w:rPr>
      </w:r>
    </w:p>
    <w:p w14:paraId="1A4C62FD" w14:textId="77777777">
      <w:pPr>
        <w:pBdr/>
        <w:spacing w:line="360" w:lineRule="auto"/>
        <w:ind/>
        <w:jc w:val="both"/>
        <w:rPr>
          <w:rFonts w:ascii="Arial" w:hAnsi="Arial" w:cs="Arial"/>
        </w:rPr>
      </w:pPr>
      <w:r>
        <w:rPr>
          <w:rFonts w:ascii="Arial" w:hAnsi="Arial" w:cs="Arial"/>
        </w:rPr>
        <w:t xml:space="preserve">A CONTRATADA deverá possuir ao menos 01 (um) Centro de Operações de Segurança da empresa provedora dos serviços de segurança tecnológica, com as certificações listadas abaixo:</w:t>
      </w:r>
      <w:r>
        <w:rPr>
          <w:rFonts w:ascii="Arial" w:hAnsi="Arial" w:cs="Arial"/>
        </w:rPr>
      </w:r>
    </w:p>
    <w:p w14:paraId="7F7E3117" w14:textId="77777777">
      <w:pPr>
        <w:pBdr/>
        <w:spacing w:line="360" w:lineRule="auto"/>
        <w:ind/>
        <w:jc w:val="both"/>
        <w:rPr>
          <w:rFonts w:ascii="Arial" w:hAnsi="Arial" w:cs="Arial"/>
        </w:rPr>
      </w:pPr>
      <w:r>
        <w:rPr>
          <w:rFonts w:ascii="Arial" w:hAnsi="Arial" w:cs="Arial"/>
        </w:rPr>
        <w:t xml:space="preserve">Certificações do Centro de Operações de Segurança:</w:t>
      </w:r>
      <w:r>
        <w:rPr>
          <w:rFonts w:ascii="Arial" w:hAnsi="Arial" w:cs="Arial"/>
        </w:rPr>
      </w:r>
    </w:p>
    <w:p w14:paraId="272E2D80"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ABNT NBR ISO/IEC 27001</w:t>
      </w:r>
      <w:r>
        <w:rPr>
          <w:rFonts w:ascii="Arial" w:hAnsi="Arial" w:cs="Arial"/>
        </w:rPr>
      </w:r>
    </w:p>
    <w:p w14:paraId="319461F1"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ABNT NBR ISO/IEC 20000</w:t>
      </w:r>
      <w:r>
        <w:rPr>
          <w:rFonts w:ascii="Arial" w:hAnsi="Arial" w:cs="Arial"/>
        </w:rPr>
      </w:r>
    </w:p>
    <w:p w14:paraId="247E173F" w14:textId="77777777">
      <w:pPr>
        <w:numPr>
          <w:ilvl w:val="0"/>
          <w:numId w:val="14"/>
        </w:numPr>
        <w:pBdr/>
        <w:tabs>
          <w:tab w:val="left" w:leader="none" w:pos="420"/>
        </w:tabs>
        <w:spacing w:line="360" w:lineRule="auto"/>
        <w:ind/>
        <w:jc w:val="both"/>
        <w:rPr>
          <w:rFonts w:ascii="Arial" w:hAnsi="Arial" w:cs="Arial"/>
        </w:rPr>
      </w:pPr>
      <w:r>
        <w:rPr>
          <w:rFonts w:ascii="Arial" w:hAnsi="Arial" w:cs="Arial"/>
        </w:rPr>
        <w:t xml:space="preserve">ABNT NBR ISO/IEC 9001</w:t>
      </w:r>
      <w:r>
        <w:rPr>
          <w:rFonts w:ascii="Arial" w:hAnsi="Arial" w:cs="Arial"/>
        </w:rPr>
      </w:r>
    </w:p>
    <w:p w14:paraId="144E8450" w14:textId="77777777">
      <w:pPr>
        <w:pBdr/>
        <w:spacing w:line="360" w:lineRule="auto"/>
        <w:ind/>
        <w:jc w:val="both"/>
        <w:rPr>
          <w:rFonts w:ascii="Arial" w:hAnsi="Arial" w:cs="Arial"/>
        </w:rPr>
      </w:pPr>
      <w:r>
        <w:rPr>
          <w:rFonts w:ascii="Arial" w:hAnsi="Arial" w:cs="Arial"/>
        </w:rPr>
        <w:t xml:space="preserve">A empresa vencedora deverá dispor de ferramenta de Proteção contra Riscos Digitais (DRP), destinada à identificação, análise e mitigação de riscos associados à presença digital institucional.</w:t>
      </w:r>
      <w:r>
        <w:rPr>
          <w:rFonts w:ascii="Arial" w:hAnsi="Arial" w:cs="Arial"/>
        </w:rPr>
      </w:r>
    </w:p>
    <w:p w14:paraId="23369BEC" w14:textId="77777777">
      <w:pPr>
        <w:pBdr/>
        <w:spacing w:line="360" w:lineRule="auto"/>
        <w:ind/>
        <w:jc w:val="both"/>
        <w:rPr>
          <w:rFonts w:ascii="Arial" w:hAnsi="Arial" w:cs="Arial"/>
        </w:rPr>
      </w:pPr>
      <w:r>
        <w:rPr>
          <w:rFonts w:ascii="Arial" w:hAnsi="Arial" w:cs="Arial"/>
        </w:rPr>
        <w:t xml:space="preserve">A solução de DRP deverá permitir monitoramento contínuo da internet e de fontes não indexadas, possibilitando a detecção de vazamentos de dados, fraudes e ataques cibernéticos em tempo real, observando a Lei nº 13.709/2018.</w:t>
      </w:r>
      <w:r>
        <w:rPr>
          <w:rFonts w:ascii="Arial" w:hAnsi="Arial" w:cs="Arial"/>
        </w:rPr>
      </w:r>
    </w:p>
    <w:p w14:paraId="010882AE" w14:textId="77777777">
      <w:pPr>
        <w:pBdr/>
        <w:spacing w:line="360" w:lineRule="auto"/>
        <w:ind/>
        <w:jc w:val="both"/>
        <w:rPr>
          <w:rFonts w:ascii="Arial" w:hAnsi="Arial" w:cs="Arial"/>
        </w:rPr>
      </w:pPr>
      <w:r>
        <w:rPr>
          <w:rFonts w:ascii="Arial" w:hAnsi="Arial" w:cs="Arial"/>
        </w:rPr>
        <w:t xml:space="preserve">A plataforma deverá ser capaz de reconhecer padrões de dados sensíveis e credenciais expostas, tais como CPF, URL, e-mail, comandos associados a bancos de dados, convites de mensageria eletrônica, secr</w:t>
      </w:r>
      <w:r>
        <w:rPr>
          <w:rFonts w:ascii="Arial" w:hAnsi="Arial" w:cs="Arial"/>
        </w:rPr>
        <w:t xml:space="preserve">et key AWS, API Client ID e Client Secret, Google Cloud API, OAuth Key, chave privada, Source Token, Sendgrid API Key, SonarQube API Key, Twitter Client ID, arquivo de configuração WordPress, menção de Checker com URL, Contas Laras, Currículo Vitae e IPv4.</w:t>
      </w:r>
      <w:r>
        <w:rPr>
          <w:rFonts w:ascii="Arial" w:hAnsi="Arial" w:cs="Arial"/>
        </w:rPr>
      </w:r>
    </w:p>
    <w:p w14:paraId="3E8A0DCD" w14:textId="77777777">
      <w:pPr>
        <w:pBdr/>
        <w:spacing w:line="360" w:lineRule="auto"/>
        <w:ind/>
        <w:jc w:val="both"/>
        <w:rPr>
          <w:rFonts w:ascii="Arial" w:hAnsi="Arial" w:cs="Arial"/>
        </w:rPr>
      </w:pPr>
      <w:r>
        <w:rPr>
          <w:rFonts w:ascii="Arial" w:hAnsi="Arial" w:cs="Arial"/>
        </w:rPr>
        <w:t xml:space="preserve">A empresa deverá possuir solução que possibilite serviço de TAKEDOWN para retirada de sites maliciosos, phishing ou domínios que utilizem nome, marca ou imagem da CONTRATADA com intuito de fraude.</w:t>
      </w:r>
      <w:r>
        <w:rPr>
          <w:rFonts w:ascii="Arial" w:hAnsi="Arial" w:cs="Arial"/>
        </w:rPr>
      </w:r>
    </w:p>
    <w:p w14:paraId="51403AFA" w14:textId="77777777">
      <w:pPr>
        <w:pBdr/>
        <w:spacing w:line="360" w:lineRule="auto"/>
        <w:ind/>
        <w:jc w:val="both"/>
        <w:rPr>
          <w:rFonts w:ascii="Arial" w:hAnsi="Arial" w:cs="Arial"/>
        </w:rPr>
      </w:pPr>
      <w:r>
        <w:rPr>
          <w:rFonts w:ascii="Arial" w:hAnsi="Arial" w:cs="Arial"/>
        </w:rPr>
      </w:r>
      <w:r>
        <w:rPr>
          <w:rFonts w:ascii="Arial" w:hAnsi="Arial" w:cs="Arial"/>
        </w:rPr>
      </w:r>
    </w:p>
    <w:p w14:paraId="28237565" w14:textId="77777777">
      <w:pPr>
        <w:pBdr/>
        <w:spacing w:line="360" w:lineRule="auto"/>
        <w:ind/>
        <w:jc w:val="both"/>
        <w:rPr>
          <w:rFonts w:ascii="Arial" w:hAnsi="Arial" w:cs="Arial"/>
        </w:rPr>
      </w:pPr>
      <w:r>
        <w:rPr>
          <w:rFonts w:ascii="Arial" w:hAnsi="Arial" w:cs="Arial"/>
        </w:rPr>
        <w:t xml:space="preserve">DA EXECUÇÃO DA PROVA DE CONCEITO</w:t>
      </w:r>
      <w:r>
        <w:rPr>
          <w:rFonts w:ascii="Arial" w:hAnsi="Arial" w:cs="Arial"/>
        </w:rPr>
      </w:r>
    </w:p>
    <w:p w14:paraId="735B5EBB" w14:textId="77777777">
      <w:pPr>
        <w:pBdr/>
        <w:spacing w:line="360" w:lineRule="auto"/>
        <w:ind/>
        <w:jc w:val="both"/>
        <w:rPr>
          <w:rFonts w:ascii="Arial" w:hAnsi="Arial" w:cs="Arial"/>
        </w:rPr>
      </w:pPr>
      <w:r>
        <w:rPr>
          <w:rFonts w:ascii="Arial" w:hAnsi="Arial" w:cs="Arial"/>
        </w:rPr>
        <w:t xml:space="preserve">Após a fase de lances e classificação, a empresa que apresentar a melhor proposta, conforme o critério de julgamento estabelecido no edital, será convocada pelo Pregoeiro para realização de prova de conceito dos </w:t>
      </w:r>
      <w:r>
        <w:rPr>
          <w:rFonts w:ascii="Arial" w:hAnsi="Arial" w:cs="Arial"/>
        </w:rPr>
        <w:t xml:space="preserve">sistemas ofertados, com a finalidade de demonstrar o atendimento às funcionalidades descritas neste edital e neste Termo de Referência.</w:t>
      </w:r>
      <w:r>
        <w:rPr>
          <w:rFonts w:ascii="Arial" w:hAnsi="Arial" w:cs="Arial"/>
        </w:rPr>
      </w:r>
    </w:p>
    <w:p w14:paraId="134E313C" w14:textId="77777777">
      <w:pPr>
        <w:pBdr/>
        <w:spacing w:line="360" w:lineRule="auto"/>
        <w:ind/>
        <w:jc w:val="both"/>
        <w:rPr>
          <w:rFonts w:ascii="Arial" w:hAnsi="Arial" w:cs="Arial"/>
        </w:rPr>
      </w:pPr>
      <w:r>
        <w:rPr>
          <w:rFonts w:ascii="Arial" w:hAnsi="Arial" w:cs="Arial"/>
        </w:rPr>
        <w:t xml:space="preserve">A prova de conceito limitar-se-á exclusivamente à verificação do atendimento às funcionalidades e requisitos técnicos previamente estabelecidos no edital e neste Termo de Referência, vedada a formulação de novas exigências, crit</w:t>
      </w:r>
      <w:r>
        <w:rPr>
          <w:rFonts w:ascii="Arial" w:hAnsi="Arial" w:cs="Arial"/>
        </w:rPr>
        <w:t xml:space="preserve">érios adicionais ou requisitos não expressamente previstos nos instrumentos convocatórios, sob pena de nulidade do ato, em observância aos princípios da vinculação ao instrumento convocatório, isonomia e julgamento objetivo previstos na Lei nº 14.133/2021.</w:t>
      </w:r>
      <w:r>
        <w:rPr>
          <w:rFonts w:ascii="Arial" w:hAnsi="Arial" w:cs="Arial"/>
        </w:rPr>
      </w:r>
    </w:p>
    <w:p w14:paraId="39C383AB" w14:textId="77777777">
      <w:pPr>
        <w:pBdr/>
        <w:spacing w:line="360" w:lineRule="auto"/>
        <w:ind/>
        <w:jc w:val="both"/>
        <w:rPr>
          <w:rFonts w:ascii="Arial" w:hAnsi="Arial" w:cs="Arial"/>
        </w:rPr>
      </w:pPr>
      <w:r>
        <w:rPr>
          <w:rFonts w:ascii="Arial" w:hAnsi="Arial" w:cs="Arial"/>
        </w:rPr>
        <w:t xml:space="preserve">Será nomeada comissão julgadora composta por, no mínimo, 02 (dois) membros, sendo ao menos um com conhecimento técnico compatível com a área de tecnologia da informação aplicada ao objeto contratado.</w:t>
      </w:r>
      <w:r>
        <w:rPr>
          <w:rFonts w:ascii="Arial" w:hAnsi="Arial" w:cs="Arial"/>
        </w:rPr>
      </w:r>
    </w:p>
    <w:p w14:paraId="1C9F0BCB" w14:textId="7B250F30">
      <w:pPr>
        <w:pBdr/>
        <w:spacing w:line="360" w:lineRule="auto"/>
        <w:ind/>
        <w:jc w:val="both"/>
        <w:rPr>
          <w:rFonts w:ascii="Arial" w:hAnsi="Arial" w:cs="Arial"/>
        </w:rPr>
      </w:pPr>
      <w:r>
        <w:rPr>
          <w:rFonts w:ascii="Arial" w:hAnsi="Arial" w:cs="Arial"/>
        </w:rPr>
        <w:t xml:space="preserve">A prova de conceito será presencial, em data designada pelo Pregoeiro, no prazo de até </w:t>
      </w:r>
      <w:r>
        <w:rPr>
          <w:rFonts w:ascii="Arial" w:hAnsi="Arial" w:cs="Arial"/>
        </w:rPr>
        <w:t xml:space="preserve">07</w:t>
      </w:r>
      <w:r>
        <w:rPr>
          <w:rFonts w:ascii="Arial" w:hAnsi="Arial" w:cs="Arial"/>
        </w:rPr>
        <w:t xml:space="preserve"> (</w:t>
      </w:r>
      <w:r>
        <w:rPr>
          <w:rFonts w:ascii="Arial" w:hAnsi="Arial" w:cs="Arial"/>
        </w:rPr>
        <w:t xml:space="preserve">sete</w:t>
      </w:r>
      <w:r>
        <w:rPr>
          <w:rFonts w:ascii="Arial" w:hAnsi="Arial" w:cs="Arial"/>
        </w:rPr>
        <w:t xml:space="preserve">) dias úteis após o encerramento da fase competitiva, sendo comunicada à empresa classificada e às demais licitantes, que poderão acompanhar a demonstração.</w:t>
      </w:r>
      <w:r>
        <w:rPr>
          <w:rFonts w:ascii="Arial" w:hAnsi="Arial" w:cs="Arial"/>
        </w:rPr>
      </w:r>
    </w:p>
    <w:p w14:paraId="1C9427F7" w14:textId="77777777">
      <w:pPr>
        <w:pBdr/>
        <w:spacing w:line="360" w:lineRule="auto"/>
        <w:ind/>
        <w:jc w:val="both"/>
        <w:rPr>
          <w:rFonts w:ascii="Arial" w:hAnsi="Arial" w:cs="Arial"/>
        </w:rPr>
      </w:pPr>
      <w:r>
        <w:rPr>
          <w:rFonts w:ascii="Arial" w:hAnsi="Arial" w:cs="Arial"/>
        </w:rPr>
        <w:t xml:space="preserve">A empresa classificada deverá demonstrar o atendimento integral aos itens obrigatórios constantes no checklist.</w:t>
      </w:r>
      <w:r>
        <w:rPr>
          <w:rFonts w:ascii="Arial" w:hAnsi="Arial" w:cs="Arial"/>
        </w:rPr>
      </w:r>
    </w:p>
    <w:p w14:paraId="7ACDF190" w14:textId="77777777">
      <w:pPr>
        <w:pBdr/>
        <w:spacing w:line="360" w:lineRule="auto"/>
        <w:ind/>
        <w:jc w:val="both"/>
        <w:rPr>
          <w:rFonts w:ascii="Arial" w:hAnsi="Arial" w:cs="Arial"/>
        </w:rPr>
      </w:pPr>
      <w:r>
        <w:rPr>
          <w:rFonts w:ascii="Arial" w:hAnsi="Arial" w:cs="Arial"/>
        </w:rPr>
        <w:t xml:space="preserve">a) A Comissão informará previamente local, data e horário para realização da prova;</w:t>
      </w:r>
      <w:r>
        <w:rPr>
          <w:rFonts w:ascii="Arial" w:hAnsi="Arial" w:cs="Arial"/>
        </w:rPr>
      </w:r>
    </w:p>
    <w:p w14:paraId="49B9226A" w14:textId="77777777">
      <w:pPr>
        <w:pBdr/>
        <w:spacing w:line="360" w:lineRule="auto"/>
        <w:ind/>
        <w:jc w:val="both"/>
        <w:rPr>
          <w:rFonts w:ascii="Arial" w:hAnsi="Arial" w:cs="Arial"/>
        </w:rPr>
      </w:pPr>
      <w:r>
        <w:rPr>
          <w:rFonts w:ascii="Arial" w:hAnsi="Arial" w:cs="Arial"/>
        </w:rPr>
        <w:t xml:space="preserve">b) O não atendimento integral aos requisitos obrigatórios implicará desclassificação motivada, com convocação da proposta subsequente, observada a ordem de classificação;</w:t>
      </w:r>
      <w:r>
        <w:rPr>
          <w:rFonts w:ascii="Arial" w:hAnsi="Arial" w:cs="Arial"/>
        </w:rPr>
      </w:r>
    </w:p>
    <w:p w14:paraId="5E6A1525" w14:textId="77777777">
      <w:pPr>
        <w:pBdr/>
        <w:spacing w:line="360" w:lineRule="auto"/>
        <w:ind/>
        <w:jc w:val="both"/>
        <w:rPr>
          <w:rFonts w:ascii="Arial" w:hAnsi="Arial" w:cs="Arial"/>
        </w:rPr>
      </w:pPr>
      <w:r>
        <w:rPr>
          <w:rFonts w:ascii="Arial" w:hAnsi="Arial" w:cs="Arial"/>
        </w:rPr>
        <w:t xml:space="preserve">c) F</w:t>
      </w:r>
      <w:r>
        <w:rPr>
          <w:rFonts w:ascii="Arial" w:hAnsi="Arial" w:cs="Arial"/>
        </w:rPr>
        <w:t xml:space="preserve">ica vedada filmagem, gravação ou captura de dados do sistema apresentado, a fim de resguardar propriedade intelectual, segurança tecnológica e informações sensíveis, podendo as manifestações das licitantes ser formalizadas por escrito e juntadas aos autos;</w:t>
      </w:r>
      <w:r>
        <w:rPr>
          <w:rFonts w:ascii="Arial" w:hAnsi="Arial" w:cs="Arial"/>
        </w:rPr>
      </w:r>
    </w:p>
    <w:p w14:paraId="26BA2813" w14:textId="77777777">
      <w:pPr>
        <w:pBdr/>
        <w:spacing w:line="360" w:lineRule="auto"/>
        <w:ind/>
        <w:jc w:val="both"/>
        <w:rPr>
          <w:rFonts w:ascii="Arial" w:hAnsi="Arial" w:cs="Arial"/>
        </w:rPr>
      </w:pPr>
      <w:r>
        <w:rPr>
          <w:rFonts w:ascii="Arial" w:hAnsi="Arial" w:cs="Arial"/>
        </w:rPr>
        <w:t xml:space="preserve">d) Cada empresa poderá indicar até dois representantes devidamente identificados para acompanhamento da demonstração.</w:t>
      </w:r>
      <w:r>
        <w:rPr>
          <w:rFonts w:ascii="Arial" w:hAnsi="Arial" w:cs="Arial"/>
        </w:rPr>
      </w:r>
    </w:p>
    <w:p w14:paraId="4EA02F80" w14:textId="77777777">
      <w:pPr>
        <w:pBdr/>
        <w:spacing w:line="360" w:lineRule="auto"/>
        <w:ind/>
        <w:jc w:val="both"/>
        <w:rPr>
          <w:rFonts w:ascii="Arial" w:hAnsi="Arial" w:cs="Arial"/>
        </w:rPr>
      </w:pPr>
      <w:r>
        <w:rPr>
          <w:rFonts w:ascii="Arial" w:hAnsi="Arial" w:cs="Arial"/>
        </w:rPr>
        <w:t xml:space="preserve">As funcionalidades obrigatórias e desejáveis a serem apresentadas encontram-se descritas no checklist específico integrante deste Termo de Referência.</w:t>
      </w:r>
      <w:r>
        <w:rPr>
          <w:rFonts w:ascii="Arial" w:hAnsi="Arial" w:cs="Arial"/>
        </w:rPr>
      </w:r>
      <w:r>
        <w:rPr>
          <w:rFonts w:ascii="Arial" w:hAnsi="Arial" w:cs="Arial"/>
        </w:rPr>
      </w:r>
      <w:r>
        <w:rPr>
          <w:rFonts w:ascii="Arial" w:hAnsi="Arial" w:cs="Arial"/>
        </w:rPr>
      </w:r>
      <w:r>
        <w:rPr>
          <w:rFonts w:ascii="Arial" w:hAnsi="Arial" w:cs="Arial"/>
        </w:rPr>
      </w:r>
    </w:p>
    <w:p w14:paraId="6D4B6455" w14:textId="77777777">
      <w:pPr>
        <w:pBdr/>
        <w:spacing w:line="360" w:lineRule="auto"/>
        <w:ind/>
        <w:jc w:val="both"/>
        <w:rPr>
          <w:rFonts w:ascii="Arial" w:hAnsi="Arial" w:cs="Arial"/>
        </w:rPr>
      </w:pPr>
      <w:r>
        <w:rPr>
          <w:rFonts w:ascii="Arial" w:hAnsi="Arial" w:cs="Arial"/>
        </w:rPr>
      </w:r>
      <w:r>
        <w:rPr>
          <w:rFonts w:ascii="Arial" w:hAnsi="Arial" w:cs="Arial"/>
        </w:rPr>
      </w:r>
    </w:p>
    <w:tbl>
      <w:tblPr>
        <w:tblInd w:w="-281" w:type="dxa"/>
        <w:tblW w:w="10830" w:type="dxa"/>
        <w:tblCellMar>
          <w:left w:w="15" w:type="dxa"/>
          <w:top w:w="15" w:type="dxa"/>
          <w:right w:w="15" w:type="dxa"/>
          <w:bottom w:w="15" w:type="dxa"/>
        </w:tblCellMar>
        <w:tblBorders/>
        <w:tblCellSpacing w:w="0" w:type="dxa"/>
        <w:tblLook w:val="0000" w:firstRow="0" w:lastRow="0" w:firstColumn="0" w:lastColumn="0" w:noHBand="0" w:noVBand="0"/>
      </w:tblPr>
      <w:tblGrid>
        <w:gridCol w:w="7331"/>
        <w:gridCol w:w="1654"/>
        <w:gridCol w:w="810"/>
        <w:gridCol w:w="1035"/>
      </w:tblGrid>
      <w:tr>
        <w:trPr>
          <w:tblCellSpacing w:w="0" w:type="dxa"/>
          <w:trHeight w:val="52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05514FB"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Descrição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5B129DA6" w14:textId="77777777">
            <w:pPr>
              <w:pBdr/>
              <w:spacing/>
              <w:ind/>
              <w:jc w:val="center"/>
              <w:rPr>
                <w:rFonts w:ascii="Arial" w:hAnsi="Arial" w:eastAsia="Liberation Sans" w:cs="Arial"/>
              </w:rPr>
            </w:pPr>
            <w:r>
              <w:rPr>
                <w:rFonts w:ascii="Arial" w:hAnsi="Arial" w:eastAsia="Liberation Sans" w:cs="Arial"/>
                <w:b/>
                <w:bCs/>
                <w:color w:val="000000"/>
                <w:lang w:eastAsia="zh-CN" w:bidi="ar"/>
              </w:rPr>
              <w:t xml:space="preserve">Comprovar processo completo no sistema</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7436D98C"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Atende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744BBD4"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N/Atende</w:t>
            </w:r>
            <w:r>
              <w:rPr>
                <w:rFonts w:ascii="Arial" w:hAnsi="Arial" w:eastAsia="Liberation Sans" w:cs="Arial"/>
              </w:rPr>
            </w:r>
          </w:p>
        </w:tc>
      </w:tr>
      <w:tr>
        <w:trPr>
          <w:tblCellSpacing w:w="0" w:type="dxa"/>
          <w:trHeight w:val="108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626EAE8" w14:textId="77777777">
            <w:pPr>
              <w:pBdr/>
              <w:spacing/>
              <w:ind/>
              <w:rPr>
                <w:rFonts w:ascii="Arial" w:hAnsi="Arial" w:eastAsia="Liberation Sans" w:cs="Arial"/>
              </w:rPr>
            </w:pPr>
            <w:r>
              <w:rPr>
                <w:rFonts w:ascii="Arial" w:hAnsi="Arial" w:eastAsia="Liberation Sans" w:cs="Arial"/>
                <w:color w:val="000000"/>
                <w:lang w:eastAsia="zh-CN" w:bidi="ar"/>
              </w:rPr>
              <w:t xml:space="preserve">Cadastrar um gestor on-line e real time, det</w:t>
            </w:r>
            <w:r>
              <w:rPr>
                <w:rFonts w:ascii="Arial" w:hAnsi="Arial" w:eastAsia="Liberation Sans" w:cs="Arial"/>
                <w:color w:val="000000"/>
                <w:lang w:eastAsia="zh-CN" w:bidi="ar"/>
              </w:rPr>
              <w:t xml:space="preserve">erminando e atribuindo um centro de custo vinculado à operacionalização do Benefício Eventual – Auxílio Natalidade, depois acessar ao sistema com os dados cadastrados, comprovando acesso, incluindo limite, bloqueando usuário e demonstrando registro em log.</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E0E7EE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2D28303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9CEEAA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FBCD09F" w14:textId="77777777">
            <w:pPr>
              <w:pBdr/>
              <w:spacing/>
              <w:ind/>
              <w:rPr>
                <w:rFonts w:ascii="Arial" w:hAnsi="Arial" w:eastAsia="Liberation Sans" w:cs="Arial"/>
              </w:rPr>
            </w:pPr>
            <w:r>
              <w:rPr>
                <w:rFonts w:ascii="Arial" w:hAnsi="Arial" w:eastAsia="Liberation Sans" w:cs="Arial"/>
                <w:color w:val="000000"/>
                <w:lang w:eastAsia="zh-CN" w:bidi="ar"/>
              </w:rPr>
              <w:t xml:space="preserve">Ser acessível via WEB (on-line), 24 horas por dia, 7 dias por semana, em navegadores padrão de mercado como Mozilla Firefox ou Google Chrome.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599C0E0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2D2C0B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A38F43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4F55830" w14:textId="77777777">
            <w:pPr>
              <w:pBdr/>
              <w:spacing/>
              <w:ind/>
              <w:rPr>
                <w:rFonts w:ascii="Arial" w:hAnsi="Arial" w:eastAsia="Liberation Sans" w:cs="Arial"/>
              </w:rPr>
            </w:pPr>
            <w:r>
              <w:rPr>
                <w:rFonts w:ascii="Arial" w:hAnsi="Arial" w:eastAsia="Liberation Sans" w:cs="Arial"/>
                <w:color w:val="000000"/>
                <w:lang w:eastAsia="zh-CN" w:bidi="ar"/>
              </w:rPr>
              <w:t xml:space="preserve">O sistema tecnológico deverá suportar cadastramento de usuários distribuídos em níveis hierárquicos conforme funções da Contratante, com login e senha pessoal e autenticação biométrica facial.</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7344FEE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38F4D3F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3748CF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33ECC143" w14:textId="77777777">
            <w:pPr>
              <w:pBdr/>
              <w:spacing/>
              <w:ind/>
              <w:rPr>
                <w:rFonts w:ascii="Arial" w:hAnsi="Arial" w:eastAsia="Liberation Sans" w:cs="Arial"/>
              </w:rPr>
            </w:pPr>
            <w:r>
              <w:rPr>
                <w:rFonts w:ascii="Arial" w:hAnsi="Arial" w:eastAsia="Liberation Sans" w:cs="Arial"/>
                <w:color w:val="000000"/>
                <w:lang w:eastAsia="zh-CN" w:bidi="ar"/>
              </w:rPr>
              <w:t xml:space="preserve">Em caso de perda, extravio, furto ou roubo do cartão do Benefício Eventual – Auxílio Natalidade, a contratada deverá possibilitar cancelamento imediato e teste no POS com bloqueio on-line.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CBEF92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6569813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1B8F2DB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3943C2C5" w14:textId="77777777">
            <w:pPr>
              <w:pBdr/>
              <w:spacing/>
              <w:ind/>
              <w:rPr>
                <w:rFonts w:ascii="Arial" w:hAnsi="Arial" w:eastAsia="Liberation Sans" w:cs="Arial"/>
              </w:rPr>
            </w:pPr>
            <w:r>
              <w:rPr>
                <w:rFonts w:ascii="Arial" w:hAnsi="Arial" w:eastAsia="Liberation Sans" w:cs="Arial"/>
                <w:color w:val="000000"/>
                <w:lang w:eastAsia="zh-CN" w:bidi="ar"/>
              </w:rPr>
              <w:t xml:space="preserve">Comprovação dos itens de segurança mínimos exigidos para execução do objeto contratado, mediante sistema, documentos e certificados.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7793DD9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7EA9353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3C6B318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D4074EC" w14:textId="77777777">
            <w:pPr>
              <w:pBdr/>
              <w:spacing/>
              <w:ind/>
              <w:rPr>
                <w:rFonts w:ascii="Arial" w:hAnsi="Arial" w:eastAsia="Liberation Sans" w:cs="Arial"/>
              </w:rPr>
            </w:pPr>
            <w:r>
              <w:rPr>
                <w:rFonts w:ascii="Arial" w:hAnsi="Arial" w:eastAsia="Liberation Sans" w:cs="Arial"/>
                <w:color w:val="000000"/>
                <w:lang w:eastAsia="zh-CN" w:bidi="ar"/>
              </w:rPr>
              <w:t xml:space="preserve">O sistema deverá utilizar algoritmos de IA para cruzamento de dados e emissão de alertas de inconsistências relacionadas à execução dos créditos do Benefício Eventual.</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CD2477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A0D8AB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04901F9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5E67BFD1" w14:textId="77777777">
            <w:pPr>
              <w:pBdr/>
              <w:spacing/>
              <w:ind/>
              <w:rPr>
                <w:rFonts w:ascii="Arial" w:hAnsi="Arial" w:eastAsia="Liberation Sans" w:cs="Arial"/>
              </w:rPr>
            </w:pPr>
            <w:r>
              <w:rPr>
                <w:rFonts w:ascii="Arial" w:hAnsi="Arial" w:eastAsia="Liberation Sans" w:cs="Arial"/>
                <w:color w:val="000000"/>
                <w:lang w:eastAsia="zh-CN" w:bidi="ar"/>
              </w:rPr>
              <w:t xml:space="preserve">Impressão do saldo disponível no comprovante de venda após cada transação realizada com cartão do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4D36A52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46B403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618B061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75AB440A" w14:textId="77777777">
            <w:pPr>
              <w:pBdr/>
              <w:spacing/>
              <w:ind/>
              <w:rPr>
                <w:rFonts w:ascii="Arial" w:hAnsi="Arial" w:eastAsia="Liberation Sans" w:cs="Arial"/>
              </w:rPr>
            </w:pPr>
            <w:r>
              <w:rPr>
                <w:rFonts w:ascii="Arial" w:hAnsi="Arial" w:eastAsia="Liberation Sans" w:cs="Arial"/>
                <w:color w:val="000000"/>
                <w:lang w:eastAsia="zh-CN" w:bidi="ar"/>
              </w:rPr>
              <w:t xml:space="preserve">Disponibilização de comprovante digital equivalente ao impresso.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465E357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2736A7A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6CA375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4F68CCF" w14:textId="77777777">
            <w:pPr>
              <w:pBdr/>
              <w:spacing/>
              <w:ind/>
              <w:rPr>
                <w:rFonts w:ascii="Arial" w:hAnsi="Arial" w:eastAsia="Liberation Sans" w:cs="Arial"/>
              </w:rPr>
            </w:pPr>
            <w:r>
              <w:rPr>
                <w:rFonts w:ascii="Arial" w:hAnsi="Arial" w:eastAsia="Liberation Sans" w:cs="Arial"/>
                <w:color w:val="000000"/>
                <w:lang w:eastAsia="zh-CN" w:bidi="ar"/>
              </w:rPr>
              <w:t xml:space="preserve">Serviço via web para consulta de saldo, novos créditos, extrato com identificação de estabelecimento e data de utilização.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0184914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5C7285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546364A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30F53B8C" w14:textId="77777777">
            <w:pPr>
              <w:pBdr/>
              <w:spacing/>
              <w:ind/>
              <w:rPr>
                <w:rFonts w:ascii="Arial" w:hAnsi="Arial" w:eastAsia="Liberation Sans" w:cs="Arial"/>
              </w:rPr>
            </w:pPr>
            <w:r>
              <w:rPr>
                <w:rFonts w:ascii="Arial" w:hAnsi="Arial" w:eastAsia="Liberation Sans" w:cs="Arial"/>
                <w:color w:val="000000"/>
                <w:lang w:eastAsia="zh-CN" w:bidi="ar"/>
              </w:rPr>
              <w:t xml:space="preserve">Central de atendimento telefônico e via internet 24h para usuários do Benefício Eventual – Auxílio Natalidade.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4AFA2BA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7A69453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3391148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50148B63" w14:textId="77777777">
            <w:pPr>
              <w:pBdr/>
              <w:spacing/>
              <w:ind/>
              <w:rPr>
                <w:rFonts w:ascii="Arial" w:hAnsi="Arial" w:eastAsia="Liberation Sans" w:cs="Arial"/>
              </w:rPr>
            </w:pPr>
            <w:r>
              <w:rPr>
                <w:rFonts w:ascii="Arial" w:hAnsi="Arial" w:eastAsia="Liberation Sans" w:cs="Arial"/>
                <w:color w:val="000000"/>
                <w:lang w:eastAsia="zh-CN" w:bidi="ar"/>
              </w:rPr>
              <w:t xml:space="preserve">Aplicativo compatível com IOS e Android.</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3F3430C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03F232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13423C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75D94678" w14:textId="77777777">
            <w:pPr>
              <w:pBdr/>
              <w:spacing/>
              <w:ind/>
              <w:rPr>
                <w:rFonts w:ascii="Arial" w:hAnsi="Arial" w:eastAsia="Liberation Sans" w:cs="Arial"/>
              </w:rPr>
            </w:pPr>
            <w:r>
              <w:rPr>
                <w:rFonts w:ascii="Arial" w:hAnsi="Arial" w:eastAsia="Liberation Sans" w:cs="Arial"/>
                <w:color w:val="000000"/>
                <w:lang w:eastAsia="zh-CN" w:bidi="ar"/>
              </w:rPr>
              <w:t xml:space="preserve">Cartões personalizados com identificação institucional do programa do Benefício Eventual – Auxílio Natalidade, entregues bloqueados.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2B715D4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37147E6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841264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61043A0" w14:textId="77777777">
            <w:pPr>
              <w:pBdr/>
              <w:spacing/>
              <w:ind/>
              <w:rPr>
                <w:rFonts w:ascii="Arial" w:hAnsi="Arial" w:eastAsia="Liberation Sans" w:cs="Arial"/>
              </w:rPr>
            </w:pPr>
            <w:r>
              <w:rPr>
                <w:rFonts w:ascii="Arial" w:hAnsi="Arial" w:eastAsia="Liberation Sans" w:cs="Arial"/>
                <w:color w:val="000000"/>
                <w:lang w:eastAsia="zh-CN" w:bidi="ar"/>
              </w:rPr>
              <w:t xml:space="preserve">Identificação diferenciada de estabelecimentos vinculados a agricultores familiares, quando aplicável à execução do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58FF117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C4EC35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04AA00F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7B1B9E5" w14:textId="77777777">
            <w:pPr>
              <w:pBdr/>
              <w:spacing/>
              <w:ind/>
              <w:rPr>
                <w:rFonts w:ascii="Arial" w:hAnsi="Arial" w:eastAsia="Liberation Sans" w:cs="Arial"/>
              </w:rPr>
            </w:pPr>
            <w:r>
              <w:rPr>
                <w:rFonts w:ascii="Arial" w:hAnsi="Arial" w:eastAsia="Liberation Sans" w:cs="Arial"/>
                <w:color w:val="000000"/>
                <w:lang w:eastAsia="zh-CN" w:bidi="ar"/>
              </w:rPr>
              <w:t xml:space="preserve">Gravação de senha na primeira transação no POS, com teste de validação de erro e acerto.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835437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E6AB5D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3ECF42D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152A65A5"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reset de senha com novo teste em transação.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68A290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D55EE2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49F2A5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516BA79A" w14:textId="77777777">
            <w:pPr>
              <w:pBdr/>
              <w:spacing/>
              <w:ind/>
              <w:rPr>
                <w:rFonts w:ascii="Arial" w:hAnsi="Arial" w:eastAsia="Liberation Sans" w:cs="Arial"/>
              </w:rPr>
            </w:pPr>
            <w:r>
              <w:rPr>
                <w:rFonts w:ascii="Arial" w:hAnsi="Arial" w:eastAsia="Liberation Sans" w:cs="Arial"/>
                <w:color w:val="000000"/>
                <w:lang w:eastAsia="zh-CN" w:bidi="ar"/>
              </w:rPr>
              <w:t xml:space="preserve">Portal para estabelecimentos credenciados inserirem valores mínimos, máximos e produtos vinculados ao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2A098E8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BAD5A6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54723CA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182FA83F" w14:textId="77777777">
            <w:pPr>
              <w:pBdr/>
              <w:spacing/>
              <w:ind/>
              <w:rPr>
                <w:rFonts w:ascii="Arial" w:hAnsi="Arial" w:eastAsia="Liberation Sans" w:cs="Arial"/>
              </w:rPr>
            </w:pPr>
            <w:r>
              <w:rPr>
                <w:rFonts w:ascii="Arial" w:hAnsi="Arial" w:eastAsia="Liberation Sans" w:cs="Arial"/>
                <w:color w:val="000000"/>
                <w:lang w:eastAsia="zh-CN" w:bidi="ar"/>
              </w:rPr>
              <w:t xml:space="preserve">Aplicativo para pesquisa de preços pelos beneficiários.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775634E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1386EB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CFC326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1F47D9B1" w14:textId="77777777">
            <w:pPr>
              <w:pBdr/>
              <w:spacing/>
              <w:ind/>
              <w:rPr>
                <w:rFonts w:ascii="Arial" w:hAnsi="Arial" w:eastAsia="Liberation Sans" w:cs="Arial"/>
              </w:rPr>
            </w:pPr>
            <w:r>
              <w:rPr>
                <w:rFonts w:ascii="Arial" w:hAnsi="Arial" w:eastAsia="Liberation Sans" w:cs="Arial"/>
                <w:color w:val="000000"/>
                <w:lang w:eastAsia="zh-CN" w:bidi="ar"/>
              </w:rPr>
              <w:t xml:space="preserve">Pesquisa de marcas, valores mínimos e máximos de itens vinculados ao Auxílio Natalidade.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22771E7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ED77EE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3C2D854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78294448" w14:textId="77777777">
            <w:pPr>
              <w:pBdr/>
              <w:spacing/>
              <w:ind/>
              <w:rPr>
                <w:rFonts w:ascii="Arial" w:hAnsi="Arial" w:eastAsia="Liberation Sans" w:cs="Arial"/>
              </w:rPr>
            </w:pPr>
            <w:r>
              <w:rPr>
                <w:rFonts w:ascii="Arial" w:hAnsi="Arial" w:eastAsia="Liberation Sans" w:cs="Arial"/>
                <w:color w:val="000000"/>
                <w:lang w:eastAsia="zh-CN" w:bidi="ar"/>
              </w:rPr>
              <w:t xml:space="preserve">Exibição de dados do estabelecimento (CNPJ, logradouro, cidade, nome).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22D66A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02C90A0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592D98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3920A6A"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envio e salvamento do comprovante da transação no celular.</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4A6396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7F52DC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3E969A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77FE6371"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localização por aproximação e traçado de rota até estabelecimento credenciado.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7539D08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60182D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43063E9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103C31DA" w14:textId="77777777">
            <w:pPr>
              <w:pBdr/>
              <w:spacing/>
              <w:ind/>
              <w:rPr>
                <w:rFonts w:ascii="Arial" w:hAnsi="Arial" w:eastAsia="Liberation Sans" w:cs="Arial"/>
              </w:rPr>
            </w:pPr>
            <w:r>
              <w:rPr>
                <w:rFonts w:ascii="Arial" w:hAnsi="Arial" w:eastAsia="Liberation Sans" w:cs="Arial"/>
                <w:color w:val="000000"/>
                <w:lang w:eastAsia="zh-CN" w:bidi="ar"/>
              </w:rPr>
              <w:t xml:space="preserve">Informação do valor do último benefício creditado.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705137E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76D9C21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1AF73F2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D5D9508"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bloqueio do cartão.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5A2B071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3FBB8CC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19150B4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402A663B"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alteração de senha com teste em transação.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35A0B71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719D603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3D8052C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5EC9EDA0" w14:textId="77777777">
            <w:pPr>
              <w:pBdr/>
              <w:spacing/>
              <w:ind/>
              <w:rPr>
                <w:rFonts w:ascii="Arial" w:hAnsi="Arial" w:eastAsia="Liberation Sans" w:cs="Arial"/>
              </w:rPr>
            </w:pPr>
            <w:r>
              <w:rPr>
                <w:rFonts w:ascii="Arial" w:hAnsi="Arial" w:eastAsia="Liberation Sans" w:cs="Arial"/>
                <w:color w:val="000000"/>
                <w:lang w:val="en-US" w:eastAsia="zh-CN" w:bidi="ar"/>
              </w:rPr>
              <w:t xml:space="preserve">Consulta de saldo diário.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03ADF42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37C84F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1B06AB5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5A5AE8C6" w14:textId="77777777">
            <w:pPr>
              <w:pBdr/>
              <w:spacing/>
              <w:ind/>
              <w:rPr>
                <w:rFonts w:ascii="Arial" w:hAnsi="Arial" w:eastAsia="Liberation Sans" w:cs="Arial"/>
              </w:rPr>
            </w:pPr>
            <w:r>
              <w:rPr>
                <w:rFonts w:ascii="Arial" w:hAnsi="Arial" w:eastAsia="Liberation Sans" w:cs="Arial"/>
                <w:color w:val="000000"/>
                <w:lang w:eastAsia="zh-CN" w:bidi="ar"/>
              </w:rPr>
              <w:t xml:space="preserve">Solicitação de 2ª via do cartão pelo aplicativo.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CA0D0B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7072EB3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03B5AF5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650A8B0" w14:textId="77777777">
            <w:pPr>
              <w:pBdr/>
              <w:spacing/>
              <w:ind/>
              <w:rPr>
                <w:rFonts w:ascii="Arial" w:hAnsi="Arial" w:eastAsia="Liberation Sans" w:cs="Arial"/>
              </w:rPr>
            </w:pPr>
            <w:r>
              <w:rPr>
                <w:rFonts w:ascii="Arial" w:hAnsi="Arial" w:eastAsia="Liberation Sans" w:cs="Arial"/>
                <w:color w:val="000000"/>
                <w:lang w:eastAsia="zh-CN" w:bidi="ar"/>
              </w:rPr>
              <w:t xml:space="preserve">Informações completas do estabelecimento (nome, endereço, horário).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5F640BD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1C269E1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108B4BD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77A7597C" w14:textId="77777777">
            <w:pPr>
              <w:pBdr/>
              <w:spacing/>
              <w:ind/>
              <w:rPr>
                <w:rFonts w:ascii="Arial" w:hAnsi="Arial" w:eastAsia="Liberation Sans" w:cs="Arial"/>
              </w:rPr>
            </w:pPr>
            <w:r>
              <w:rPr>
                <w:rFonts w:ascii="Arial" w:hAnsi="Arial" w:eastAsia="Liberation Sans" w:cs="Arial"/>
                <w:color w:val="000000"/>
                <w:lang w:eastAsia="zh-CN" w:bidi="ar"/>
              </w:rPr>
              <w:t xml:space="preserve">Informação de localização do estabelecimento.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A20D19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0815B5A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43E562D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6D5724F4" w14:textId="77777777">
            <w:pPr>
              <w:pBdr/>
              <w:spacing/>
              <w:ind/>
              <w:rPr>
                <w:rFonts w:ascii="Arial" w:hAnsi="Arial" w:eastAsia="Liberation Sans" w:cs="Arial"/>
              </w:rPr>
            </w:pPr>
            <w:r>
              <w:rPr>
                <w:rFonts w:ascii="Arial" w:hAnsi="Arial" w:eastAsia="Liberation Sans" w:cs="Arial"/>
                <w:color w:val="000000"/>
                <w:lang w:eastAsia="zh-CN" w:bidi="ar"/>
              </w:rPr>
              <w:t xml:space="preserve">Visualização de saldo e transações realizadas no aplicativo.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433184C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DBF7B9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15F4492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A930951" w14:textId="77777777">
            <w:pPr>
              <w:pBdr/>
              <w:spacing/>
              <w:ind/>
              <w:rPr>
                <w:rFonts w:ascii="Arial" w:hAnsi="Arial" w:eastAsia="Liberation Sans" w:cs="Arial"/>
              </w:rPr>
            </w:pPr>
            <w:r>
              <w:rPr>
                <w:rFonts w:ascii="Arial" w:hAnsi="Arial" w:eastAsia="Liberation Sans" w:cs="Arial"/>
                <w:color w:val="000000"/>
                <w:lang w:eastAsia="zh-CN" w:bidi="ar"/>
              </w:rPr>
              <w:t xml:space="preserve">Suporte técnico via 0800 com atendimento 24h aos beneficiários e credenciados.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5D92C6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788A22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FC1003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6B671C77" w14:textId="77777777">
            <w:pPr>
              <w:pBdr/>
              <w:spacing/>
              <w:ind/>
              <w:rPr>
                <w:rFonts w:ascii="Arial" w:hAnsi="Arial" w:eastAsia="Liberation Sans" w:cs="Arial"/>
              </w:rPr>
            </w:pPr>
            <w:r>
              <w:rPr>
                <w:rFonts w:ascii="Arial" w:hAnsi="Arial" w:eastAsia="Liberation Sans" w:cs="Arial"/>
                <w:color w:val="000000"/>
                <w:lang w:eastAsia="zh-CN" w:bidi="ar"/>
              </w:rPr>
              <w:t xml:space="preserve">Sistema deverá permitir consulta de beneficiários ativos, estabelecimentos credenciados ativos e locais de utilização dos créditos do Benefício Eventual – Auxílio Natalidade, com extração de relatórios gerenciais.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DBBED4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5D8A93E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85A1B4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6A1DF5B"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atualização em lote de usuários.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2B027DE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19A3CFB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3C649B6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B9D8C83"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logs do sistema.</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3624367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264A218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04F5685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37AC726"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créditos inseridos por período.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836AF0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04E4AE0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53F5154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6238E434"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créditos inseridos por usuário.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3B97966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4171BC6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4355336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763E427C"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consumo por usuário com pesquisa por CPF/nome e período.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4D898D1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30F5FFD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6864070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14A53CA8" w14:textId="77777777">
            <w:pPr>
              <w:pBdr/>
              <w:spacing/>
              <w:ind/>
              <w:rPr>
                <w:rFonts w:ascii="Arial" w:hAnsi="Arial" w:eastAsia="Liberation Sans" w:cs="Arial"/>
              </w:rPr>
            </w:pPr>
            <w:r>
              <w:rPr>
                <w:rFonts w:ascii="Arial" w:hAnsi="Arial" w:eastAsia="Liberation Sans" w:cs="Arial"/>
                <w:color w:val="000000"/>
                <w:lang w:val="en-US" w:eastAsia="zh-CN" w:bidi="ar"/>
              </w:rPr>
              <w:t xml:space="preserve">Relatório de transações bloqueadas.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2214ADB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0E58C6D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7ED0973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2FEAE8BC" w14:textId="77777777">
            <w:pPr>
              <w:pBdr/>
              <w:spacing/>
              <w:ind/>
              <w:rPr>
                <w:rFonts w:ascii="Arial" w:hAnsi="Arial" w:eastAsia="Liberation Sans" w:cs="Arial"/>
              </w:rPr>
            </w:pPr>
            <w:r>
              <w:rPr>
                <w:rFonts w:ascii="Arial" w:hAnsi="Arial" w:eastAsia="Liberation Sans" w:cs="Arial"/>
                <w:color w:val="000000"/>
                <w:lang w:val="en-US" w:eastAsia="zh-CN" w:bidi="ar"/>
              </w:rPr>
              <w:t xml:space="preserve">Relatório de cartões solicitados.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61EF4FD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34D7836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4AD940D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137687C3"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2ª via de cartões.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4543024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36BA5D3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696EC8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7331" w:type="dxa"/>
            <w:vAlign w:val="center"/>
            <w:textDirection w:val="lrTb"/>
            <w:noWrap w:val="false"/>
          </w:tcPr>
          <w:p w14:paraId="0FDCA2B4"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bloqueio e desbloqueio de rede com teste prático.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654" w:type="dxa"/>
            <w:vAlign w:val="center"/>
            <w:textDirection w:val="lrTb"/>
            <w:noWrap w:val="false"/>
          </w:tcPr>
          <w:p w14:paraId="1E5A8F5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10" w:type="dxa"/>
            <w:vAlign w:val="center"/>
            <w:textDirection w:val="lrTb"/>
            <w:noWrap w:val="false"/>
          </w:tcPr>
          <w:p w14:paraId="133995B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035" w:type="dxa"/>
            <w:vAlign w:val="center"/>
            <w:textDirection w:val="lrTb"/>
            <w:noWrap w:val="false"/>
          </w:tcPr>
          <w:p w14:paraId="233114D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bl>
    <w:p w14:paraId="5C3ECCA3" w14:textId="77777777">
      <w:pPr>
        <w:pBdr/>
        <w:spacing w:line="360" w:lineRule="auto"/>
        <w:ind/>
        <w:jc w:val="both"/>
        <w:rPr>
          <w:rFonts w:ascii="Arial" w:hAnsi="Arial" w:cs="Arial"/>
        </w:rPr>
      </w:pPr>
      <w:r>
        <w:rPr>
          <w:rFonts w:ascii="Arial" w:hAnsi="Arial" w:cs="Arial"/>
        </w:rPr>
      </w:r>
      <w:r>
        <w:rPr>
          <w:rFonts w:ascii="Arial" w:hAnsi="Arial" w:cs="Arial"/>
        </w:rPr>
      </w:r>
    </w:p>
    <w:tbl>
      <w:tblPr>
        <w:tblInd w:w="65" w:type="dxa"/>
        <w:tblW w:w="10175" w:type="dxa"/>
        <w:tblBorders/>
        <w:tblLayout w:type="fixed"/>
        <w:tblLook w:val="0000" w:firstRow="0" w:lastRow="0" w:firstColumn="0" w:lastColumn="0" w:noHBand="0" w:noVBand="0"/>
      </w:tblPr>
      <w:tblGrid>
        <w:gridCol w:w="10175"/>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175" w:type="dxa"/>
            <w:textDirection w:val="lrTb"/>
            <w:noWrap w:val="false"/>
          </w:tcPr>
          <w:p w14:paraId="703D60F4" w14:textId="77777777">
            <w:pPr>
              <w:widowControl w:val="false"/>
              <w:pBdr/>
              <w:spacing/>
              <w:ind/>
              <w:jc w:val="center"/>
              <w:rPr>
                <w:rFonts w:ascii="Arial" w:hAnsi="Arial" w:cs="Arial"/>
              </w:rPr>
            </w:pPr>
            <w:r>
              <w:rPr>
                <w:rFonts w:ascii="Arial" w:hAnsi="Arial" w:cs="Arial"/>
                <w:b/>
                <w:bCs/>
              </w:rPr>
              <w:t xml:space="preserve">5. DESCRIÇÃO DA SOLUÇÃO COMO UM TODO – Art. 6º, XXIII, “c”</w:t>
            </w:r>
            <w:r>
              <w:rPr>
                <w:rFonts w:ascii="Arial" w:hAnsi="Arial" w:cs="Arial"/>
              </w:rPr>
            </w:r>
          </w:p>
        </w:tc>
      </w:tr>
    </w:tbl>
    <w:p w14:paraId="65E71413" w14:textId="77777777">
      <w:pPr>
        <w:pBdr/>
        <w:spacing w:line="360" w:lineRule="auto"/>
        <w:ind/>
        <w:rPr>
          <w:rFonts w:ascii="Arial" w:hAnsi="Arial" w:cs="Arial"/>
        </w:rPr>
      </w:pPr>
      <w:r>
        <w:rPr>
          <w:rFonts w:ascii="Arial" w:hAnsi="Arial" w:cs="Arial"/>
        </w:rPr>
        <w:t xml:space="preserve">5.1. A descrição da solução como um todo encontra-se pormenorizada em tópico específico dos Estudos Técnicos Preliminares, apêndice deste Termo de Referência.</w:t>
      </w:r>
      <w:r>
        <w:rPr>
          <w:rFonts w:ascii="Arial" w:hAnsi="Arial" w:cs="Arial"/>
        </w:rPr>
      </w:r>
    </w:p>
    <w:tbl>
      <w:tblPr>
        <w:tblInd w:w="103" w:type="dxa"/>
        <w:tblW w:w="10175" w:type="dxa"/>
        <w:tblBorders/>
        <w:tblLayout w:type="fixed"/>
        <w:tblLook w:val="0000" w:firstRow="0" w:lastRow="0" w:firstColumn="0" w:lastColumn="0" w:noHBand="0" w:noVBand="0"/>
      </w:tblPr>
      <w:tblGrid>
        <w:gridCol w:w="10175"/>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100" w:type="dxa"/>
            <w:textDirection w:val="lrTb"/>
            <w:noWrap w:val="false"/>
          </w:tcPr>
          <w:p w14:paraId="6CFA1503" w14:textId="77777777">
            <w:pPr>
              <w:widowControl w:val="false"/>
              <w:pBdr/>
              <w:spacing/>
              <w:ind/>
              <w:jc w:val="center"/>
              <w:rPr>
                <w:rFonts w:ascii="Arial" w:hAnsi="Arial" w:cs="Arial"/>
              </w:rPr>
            </w:pPr>
            <w:r>
              <w:rPr>
                <w:rFonts w:ascii="Arial" w:hAnsi="Arial" w:cs="Arial"/>
                <w:b/>
                <w:bCs/>
              </w:rPr>
              <w:t xml:space="preserve">6. MODELO DE EXECUÇÃO DO OBJETO E RESULTADOS – Art. 6º, XXIII, “e”</w:t>
            </w:r>
            <w:r>
              <w:rPr>
                <w:rFonts w:ascii="Arial" w:hAnsi="Arial" w:cs="Arial"/>
              </w:rPr>
            </w:r>
          </w:p>
        </w:tc>
      </w:tr>
    </w:tbl>
    <w:p w14:paraId="4622AA08" w14:textId="77777777">
      <w:pPr>
        <w:pBdr/>
        <w:spacing w:line="360" w:lineRule="auto"/>
        <w:ind/>
        <w:jc w:val="both"/>
        <w:rPr>
          <w:rFonts w:ascii="Arial" w:hAnsi="Arial" w:cs="Arial"/>
        </w:rPr>
      </w:pPr>
      <w:r>
        <w:rPr>
          <w:rFonts w:ascii="Arial" w:hAnsi="Arial" w:cs="Arial"/>
          <w:lang w:eastAsia="zh-CN"/>
        </w:rPr>
        <w:t xml:space="preserve">6.1.Do Prazo de Entrega</w:t>
      </w:r>
      <w:r>
        <w:rPr>
          <w:rFonts w:ascii="Arial" w:hAnsi="Arial" w:cs="Arial"/>
        </w:rPr>
      </w:r>
    </w:p>
    <w:p w14:paraId="3AE1CEF8" w14:textId="77777777">
      <w:pPr>
        <w:pStyle w:val="896"/>
        <w:pBdr/>
        <w:spacing w:after="0" w:line="360" w:lineRule="auto"/>
        <w:ind/>
        <w:jc w:val="both"/>
        <w:rPr>
          <w:rFonts w:ascii="Arial" w:hAnsi="Arial" w:cs="Arial"/>
          <w:lang w:eastAsia="zh-CN"/>
        </w:rPr>
      </w:pPr>
      <w:r>
        <w:rPr>
          <w:rFonts w:ascii="Arial" w:hAnsi="Arial" w:cs="Arial"/>
          <w:lang w:eastAsia="zh-CN"/>
        </w:rPr>
        <w:t xml:space="preserve">6.1.1. A empresa CONTRATADA deverá efetuar a entrega dos cartões magnéticos devidamente ativos, personalizados e com crédito pré-carregado de </w:t>
      </w:r>
      <w:r>
        <w:rPr>
          <w:rFonts w:ascii="Arial" w:hAnsi="Arial" w:cs="Arial"/>
        </w:rPr>
        <w:t xml:space="preserve"> R$ 750,00 (setecentos e cinquenta reais), </w:t>
      </w:r>
      <w:r>
        <w:rPr>
          <w:rFonts w:ascii="Arial" w:hAnsi="Arial" w:cs="Arial"/>
          <w:lang w:eastAsia="zh-CN"/>
        </w:rPr>
        <w:t xml:space="preserve"> no prazo máximo de 15 (quinze) dias úteis, contados a partir do recebimento da autorização formal de fornecimento, expedida pela Secretaria Municipal de Assistência Social, com base na Ata de Registro de Preços.</w:t>
      </w:r>
      <w:r>
        <w:rPr>
          <w:rFonts w:ascii="Arial" w:hAnsi="Arial" w:cs="Arial"/>
          <w:lang w:eastAsia="zh-CN"/>
        </w:rPr>
      </w:r>
    </w:p>
    <w:p w14:paraId="03CDE6AD" w14:textId="77777777">
      <w:pPr>
        <w:pStyle w:val="896"/>
        <w:pBdr/>
        <w:spacing w:after="0" w:line="360" w:lineRule="auto"/>
        <w:ind/>
        <w:jc w:val="both"/>
        <w:rPr>
          <w:rFonts w:ascii="Arial" w:hAnsi="Arial" w:cs="Arial"/>
          <w:lang w:eastAsia="zh-CN"/>
        </w:rPr>
      </w:pPr>
      <w:r>
        <w:rPr>
          <w:rFonts w:ascii="Arial" w:hAnsi="Arial" w:cs="Arial"/>
          <w:lang w:eastAsia="zh-CN"/>
        </w:rPr>
        <w:t xml:space="preserve">6.1.2. Em caso de impossibilidade de cumprimento do prazo, a CONTRATADA deverá comunicar f</w:t>
      </w:r>
      <w:r>
        <w:rPr>
          <w:rFonts w:ascii="Arial" w:hAnsi="Arial" w:cs="Arial"/>
          <w:lang w:eastAsia="zh-CN"/>
        </w:rPr>
        <w:t xml:space="preserve">ormalmente a Secretaria, com antecedência mínima de 24 (vinte e quatro) horas, apresentando justificativa fundamentada para análise e deliberação quanto à eventual prorrogação, excetuando-se os casos de força maior ou caso fortuito devidamente comprovados.</w:t>
      </w:r>
      <w:r>
        <w:rPr>
          <w:rFonts w:ascii="Arial" w:hAnsi="Arial" w:cs="Arial"/>
          <w:lang w:eastAsia="zh-CN"/>
        </w:rPr>
      </w:r>
    </w:p>
    <w:p w14:paraId="0D172184" w14:textId="77777777">
      <w:pPr>
        <w:pStyle w:val="896"/>
        <w:pBdr/>
        <w:spacing w:after="0" w:line="360" w:lineRule="auto"/>
        <w:ind/>
        <w:jc w:val="both"/>
        <w:rPr>
          <w:rFonts w:ascii="Arial" w:hAnsi="Arial" w:cs="Arial"/>
          <w:lang w:eastAsia="zh-CN"/>
        </w:rPr>
      </w:pPr>
      <w:r>
        <w:rPr>
          <w:rFonts w:ascii="Arial" w:hAnsi="Arial" w:cs="Arial"/>
          <w:lang w:eastAsia="zh-CN"/>
        </w:rPr>
        <w:t xml:space="preserve">6.1.3. A cada solicitação, a Administração envia</w:t>
      </w:r>
      <w:r>
        <w:rPr>
          <w:rFonts w:ascii="Arial" w:hAnsi="Arial" w:cs="Arial"/>
          <w:lang w:eastAsia="zh-CN"/>
        </w:rPr>
        <w:t xml:space="preserve">rá à CONTRATADA a respectiva autorização de fornecimento, com indicação da quantidade de cartões, dados dos beneficiários, endereço de entrega, data limite e outras informações operacionais. Essa comunicação será feita via correio eletrônico institucional.</w:t>
      </w:r>
      <w:r>
        <w:rPr>
          <w:rFonts w:ascii="Arial" w:hAnsi="Arial" w:cs="Arial"/>
          <w:lang w:eastAsia="zh-CN"/>
        </w:rPr>
      </w:r>
    </w:p>
    <w:p w14:paraId="4B6D6DF0" w14:textId="77777777">
      <w:pPr>
        <w:pStyle w:val="896"/>
        <w:pBdr/>
        <w:spacing w:after="0" w:line="360" w:lineRule="auto"/>
        <w:ind/>
        <w:jc w:val="both"/>
        <w:rPr>
          <w:rFonts w:ascii="Arial" w:hAnsi="Arial" w:cs="Arial"/>
          <w:lang w:eastAsia="zh-CN"/>
        </w:rPr>
      </w:pPr>
      <w:r>
        <w:rPr>
          <w:rFonts w:ascii="Arial" w:hAnsi="Arial" w:cs="Arial"/>
          <w:lang w:eastAsia="zh-CN"/>
        </w:rPr>
        <w:t xml:space="preserve">6.1.4. O fornecimento ocorrerá de forma parcelada, conforme a demanda apurada periodicamente pela Secretaria Municipal de Assistência Social, não sendo exigido o fornecimento imediato do quantitativo total registrado em ata.</w:t>
      </w:r>
      <w:r>
        <w:rPr>
          <w:rFonts w:ascii="Arial" w:hAnsi="Arial" w:cs="Arial"/>
          <w:lang w:eastAsia="zh-CN"/>
        </w:rPr>
      </w:r>
    </w:p>
    <w:p w14:paraId="401F77BD" w14:textId="77777777">
      <w:pPr>
        <w:pStyle w:val="896"/>
        <w:pBdr/>
        <w:spacing w:after="0" w:line="360" w:lineRule="auto"/>
        <w:ind/>
        <w:jc w:val="both"/>
        <w:rPr>
          <w:rFonts w:ascii="Arial" w:hAnsi="Arial" w:cs="Arial"/>
          <w:lang w:eastAsia="zh-CN"/>
        </w:rPr>
      </w:pPr>
      <w:r>
        <w:rPr>
          <w:rFonts w:ascii="Arial" w:hAnsi="Arial" w:cs="Arial"/>
          <w:lang w:eastAsia="zh-CN"/>
        </w:rPr>
        <w:t xml:space="preserve">6.1.5. A</w:t>
      </w:r>
      <w:r>
        <w:rPr>
          <w:rFonts w:ascii="Arial" w:hAnsi="Arial" w:cs="Arial"/>
          <w:lang w:eastAsia="zh-CN"/>
        </w:rPr>
        <w:t xml:space="preserve"> CONTRATADA deverá entregar, obrigatoriamente, a totalidade dos cartões solicitados em cada pedido, observando os prazos e condições definidos, sob pena de aplicação das sanções administrativas previstas neste Termo de Referência e na legislação aplicável.</w:t>
      </w:r>
      <w:r>
        <w:rPr>
          <w:rFonts w:ascii="Arial" w:hAnsi="Arial" w:cs="Arial"/>
          <w:lang w:eastAsia="zh-CN"/>
        </w:rPr>
      </w:r>
    </w:p>
    <w:p w14:paraId="1241688D" w14:textId="77777777">
      <w:pPr>
        <w:pBdr/>
        <w:spacing w:line="360" w:lineRule="auto"/>
        <w:ind/>
        <w:jc w:val="both"/>
        <w:rPr>
          <w:rFonts w:ascii="Arial" w:hAnsi="Arial" w:cs="Arial"/>
          <w:lang w:eastAsia="zh-CN"/>
        </w:rPr>
      </w:pPr>
      <w:r>
        <w:rPr>
          <w:rFonts w:ascii="Arial" w:hAnsi="Arial" w:cs="Arial"/>
          <w:lang w:eastAsia="zh-CN"/>
        </w:rPr>
        <w:t xml:space="preserve">6.2. Do Local de Entrega</w:t>
      </w:r>
      <w:r>
        <w:rPr>
          <w:rFonts w:ascii="Arial" w:hAnsi="Arial" w:cs="Arial"/>
          <w:lang w:eastAsia="zh-CN"/>
        </w:rPr>
      </w:r>
    </w:p>
    <w:p w14:paraId="7254A95C" w14:textId="77777777">
      <w:pPr>
        <w:pStyle w:val="896"/>
        <w:pBdr/>
        <w:spacing w:after="0" w:line="360" w:lineRule="auto"/>
        <w:ind/>
        <w:jc w:val="both"/>
        <w:rPr>
          <w:rFonts w:ascii="Arial" w:hAnsi="Arial" w:cs="Arial"/>
          <w:lang w:eastAsia="zh-CN"/>
        </w:rPr>
      </w:pPr>
      <w:r>
        <w:rPr>
          <w:rFonts w:ascii="Arial" w:hAnsi="Arial" w:cs="Arial"/>
          <w:lang w:eastAsia="zh-CN"/>
        </w:rPr>
        <w:t xml:space="preserve">6.2.1. Os cartões deverão ser entregues diretamente </w:t>
      </w:r>
      <w:r>
        <w:rPr>
          <w:rFonts w:ascii="Arial" w:hAnsi="Arial" w:cs="Arial"/>
          <w:lang w:eastAsia="zh-CN"/>
        </w:rPr>
        <w:t xml:space="preserve">no local designado pela Secretaria Municipal de Assistência Social, podendo ser a sede administrativa, os Centros de Referência de Assistência Social (CRAS) ou outro local previamente informado no ato da solicitação, sempre no Município de Rondonópolis-MT.</w:t>
      </w:r>
      <w:r>
        <w:rPr>
          <w:rFonts w:ascii="Arial" w:hAnsi="Arial" w:cs="Arial"/>
          <w:lang w:eastAsia="zh-CN"/>
        </w:rPr>
      </w:r>
    </w:p>
    <w:p w14:paraId="34F21AD8" w14:textId="77777777">
      <w:pPr>
        <w:pStyle w:val="896"/>
        <w:pBdr/>
        <w:spacing w:after="0" w:line="360" w:lineRule="auto"/>
        <w:ind/>
        <w:jc w:val="both"/>
        <w:rPr>
          <w:rFonts w:ascii="Arial" w:hAnsi="Arial" w:cs="Arial"/>
          <w:lang w:eastAsia="zh-CN"/>
        </w:rPr>
      </w:pPr>
      <w:r>
        <w:rPr>
          <w:rFonts w:ascii="Arial" w:hAnsi="Arial" w:cs="Arial"/>
          <w:lang w:eastAsia="zh-CN"/>
        </w:rPr>
        <w:t xml:space="preserve">6.2.2. A entrega deverá ocorrer em dias úteis, de segunda a sexta-feira, das 7h às 11h e das 13h às 17h, e será acompanhada por servidor designado, que realizará a conferência técnica e administrativa dos itens.</w:t>
      </w:r>
      <w:r>
        <w:rPr>
          <w:rFonts w:ascii="Arial" w:hAnsi="Arial" w:cs="Arial"/>
          <w:lang w:eastAsia="zh-CN"/>
        </w:rPr>
      </w:r>
    </w:p>
    <w:p w14:paraId="46FCA404" w14:textId="77777777">
      <w:pPr>
        <w:pStyle w:val="896"/>
        <w:pBdr/>
        <w:spacing w:after="0" w:line="360" w:lineRule="auto"/>
        <w:ind/>
        <w:jc w:val="both"/>
        <w:rPr>
          <w:rFonts w:ascii="Arial" w:hAnsi="Arial" w:cs="Arial"/>
          <w:lang w:eastAsia="zh-CN"/>
        </w:rPr>
      </w:pPr>
      <w:r>
        <w:rPr>
          <w:rFonts w:ascii="Arial" w:hAnsi="Arial" w:cs="Arial"/>
          <w:lang w:eastAsia="zh-CN"/>
        </w:rPr>
        <w:t xml:space="preserve">6.2.3. Caberá à CONTRATADA entregar, descarregar e acondicionar os cartões de forma segura e organizada, no local e condições indicadas pela Secretaria, responsabilizando-se por quaisquer danos, extravios ou perdas durante a entrega.</w:t>
      </w:r>
      <w:r>
        <w:rPr>
          <w:rFonts w:ascii="Arial" w:hAnsi="Arial" w:cs="Arial"/>
          <w:lang w:eastAsia="zh-CN"/>
        </w:rPr>
      </w:r>
    </w:p>
    <w:p w14:paraId="652CF53C" w14:textId="77777777">
      <w:pPr>
        <w:pBdr/>
        <w:spacing w:line="360" w:lineRule="auto"/>
        <w:ind/>
        <w:jc w:val="both"/>
        <w:rPr>
          <w:rFonts w:ascii="Arial" w:hAnsi="Arial" w:cs="Arial"/>
          <w:lang w:eastAsia="zh-CN"/>
        </w:rPr>
      </w:pPr>
      <w:r>
        <w:rPr>
          <w:rFonts w:ascii="Arial" w:hAnsi="Arial" w:cs="Arial"/>
          <w:lang w:eastAsia="zh-CN"/>
        </w:rPr>
        <w:t xml:space="preserve">6.3. Das Condições de Entrega</w:t>
      </w:r>
      <w:r>
        <w:rPr>
          <w:rFonts w:ascii="Arial" w:hAnsi="Arial" w:cs="Arial"/>
          <w:lang w:eastAsia="zh-CN"/>
        </w:rPr>
      </w:r>
    </w:p>
    <w:p w14:paraId="08C8D917" w14:textId="77777777">
      <w:pPr>
        <w:pStyle w:val="896"/>
        <w:pBdr/>
        <w:spacing w:after="0" w:line="360" w:lineRule="auto"/>
        <w:ind/>
        <w:jc w:val="both"/>
        <w:rPr>
          <w:rFonts w:ascii="Arial" w:hAnsi="Arial" w:cs="Arial"/>
          <w:lang w:eastAsia="zh-CN"/>
        </w:rPr>
      </w:pPr>
      <w:r>
        <w:rPr>
          <w:rFonts w:ascii="Arial" w:hAnsi="Arial" w:cs="Arial"/>
          <w:lang w:eastAsia="zh-CN"/>
        </w:rPr>
        <w:t xml:space="preserve">6.3.1. Os cartões deverão ser entregues lacrados, não violados, sem defeitos físicos, sujidade, rasuras ou elementos que comprometam sua funcionalidade, sendo recusadas as unidades que apresentarem qualquer sinal de irregularidade.</w:t>
      </w:r>
      <w:r>
        <w:rPr>
          <w:rFonts w:ascii="Arial" w:hAnsi="Arial" w:cs="Arial"/>
          <w:lang w:eastAsia="zh-CN"/>
        </w:rPr>
      </w:r>
    </w:p>
    <w:p w14:paraId="1C3CF61D" w14:textId="77777777">
      <w:pPr>
        <w:pStyle w:val="896"/>
        <w:pBdr/>
        <w:spacing w:after="0" w:line="360" w:lineRule="auto"/>
        <w:ind/>
        <w:jc w:val="both"/>
        <w:rPr>
          <w:rFonts w:ascii="Arial" w:hAnsi="Arial" w:cs="Arial"/>
          <w:lang w:eastAsia="zh-CN"/>
        </w:rPr>
      </w:pPr>
      <w:r>
        <w:rPr>
          <w:rFonts w:ascii="Arial" w:hAnsi="Arial" w:cs="Arial"/>
          <w:lang w:eastAsia="zh-CN"/>
        </w:rPr>
        <w:t xml:space="preserve">6.3.2. Cada entrega deverá ser acompanhada de nota fiscal eletrônica, na qual constará o número da autorização de fornecimento correspondente. A nota fiscal deverá refletir fielmente a quantidade, o valor total, e os dados da unidade solicitante.</w:t>
      </w:r>
      <w:r>
        <w:rPr>
          <w:rFonts w:ascii="Arial" w:hAnsi="Arial" w:cs="Arial"/>
          <w:lang w:eastAsia="zh-CN"/>
        </w:rPr>
      </w:r>
    </w:p>
    <w:p w14:paraId="69BA7732" w14:textId="77777777">
      <w:pPr>
        <w:pStyle w:val="896"/>
        <w:pBdr/>
        <w:spacing w:after="0" w:line="360" w:lineRule="auto"/>
        <w:ind/>
        <w:jc w:val="both"/>
        <w:rPr>
          <w:rFonts w:ascii="Arial" w:hAnsi="Arial" w:cs="Arial"/>
          <w:lang w:eastAsia="zh-CN"/>
        </w:rPr>
      </w:pPr>
      <w:r>
        <w:rPr>
          <w:rFonts w:ascii="Arial" w:hAnsi="Arial" w:cs="Arial"/>
          <w:lang w:eastAsia="zh-CN"/>
        </w:rPr>
        <w:t xml:space="preserve">6.3.3. Caso haja erro ou divergência no fo</w:t>
      </w:r>
      <w:r>
        <w:rPr>
          <w:rFonts w:ascii="Arial" w:hAnsi="Arial" w:cs="Arial"/>
          <w:lang w:eastAsia="zh-CN"/>
        </w:rPr>
        <w:t xml:space="preserve">rnecimento (quantidade, personalização, beneficiário incorreto, cartões inativos ou com falhas técnicas), a carga será integralmente recusada e devolvida, e a CONTRATADA deverá providenciar nova entrega em prazo a ser definido pela fiscalização contratual.</w:t>
      </w:r>
      <w:r>
        <w:rPr>
          <w:rFonts w:ascii="Arial" w:hAnsi="Arial" w:cs="Arial"/>
          <w:lang w:eastAsia="zh-CN"/>
        </w:rPr>
      </w:r>
    </w:p>
    <w:p w14:paraId="317BB000" w14:textId="77777777">
      <w:pPr>
        <w:pStyle w:val="896"/>
        <w:pBdr/>
        <w:spacing w:after="0" w:line="360" w:lineRule="auto"/>
        <w:ind/>
        <w:jc w:val="both"/>
        <w:rPr>
          <w:rFonts w:ascii="Arial" w:hAnsi="Arial" w:cs="Arial"/>
          <w:lang w:eastAsia="zh-CN"/>
        </w:rPr>
      </w:pPr>
      <w:r>
        <w:rPr>
          <w:rFonts w:ascii="Arial" w:hAnsi="Arial" w:cs="Arial"/>
          <w:lang w:eastAsia="zh-CN"/>
        </w:rPr>
        <w:t xml:space="preserve">6.3.4. A CONTRATADA será responsável pela substituição de cartõ</w:t>
      </w:r>
      <w:r>
        <w:rPr>
          <w:rFonts w:ascii="Arial" w:hAnsi="Arial" w:cs="Arial"/>
          <w:lang w:eastAsia="zh-CN"/>
        </w:rPr>
        <w:t xml:space="preserve">es defeituosos ou entregues em desacordo, no prazo máximo de 5 (cinco) dias úteis após notificação formal. Decorrido esse prazo sem solução, a Administração poderá aplicar sanções e promover o descarte ou inutilização dos materiais entregues indevidamente.</w:t>
      </w:r>
      <w:r>
        <w:rPr>
          <w:rFonts w:ascii="Arial" w:hAnsi="Arial" w:cs="Arial"/>
          <w:lang w:eastAsia="zh-CN"/>
        </w:rPr>
      </w:r>
    </w:p>
    <w:p w14:paraId="711BCCFC" w14:textId="77777777">
      <w:pPr>
        <w:pStyle w:val="896"/>
        <w:pBdr/>
        <w:spacing w:after="0" w:line="360" w:lineRule="auto"/>
        <w:ind/>
        <w:jc w:val="both"/>
        <w:rPr>
          <w:rFonts w:ascii="Arial" w:hAnsi="Arial" w:cs="Arial"/>
          <w:lang w:eastAsia="zh-CN"/>
        </w:rPr>
      </w:pPr>
      <w:r>
        <w:rPr>
          <w:rFonts w:ascii="Arial" w:hAnsi="Arial" w:cs="Arial"/>
          <w:lang w:eastAsia="zh-CN"/>
        </w:rPr>
        <w:t xml:space="preserve">6.3.5. O mero recebimento físico dos cartões não caracteriza aceitação definitiva. A conferência de funcionalidade, regularidade e conformidade será feita posteriormente pela equipe técnica da Secretaria Municipal de Assistência Social.</w:t>
      </w:r>
      <w:r>
        <w:rPr>
          <w:rFonts w:ascii="Arial" w:hAnsi="Arial" w:cs="Arial"/>
          <w:lang w:eastAsia="zh-CN"/>
        </w:rPr>
      </w:r>
    </w:p>
    <w:p w14:paraId="5293C958" w14:textId="77777777">
      <w:pPr>
        <w:pStyle w:val="896"/>
        <w:pBdr/>
        <w:spacing w:after="0" w:line="360" w:lineRule="auto"/>
        <w:ind/>
        <w:jc w:val="both"/>
        <w:rPr>
          <w:rFonts w:ascii="Arial" w:hAnsi="Arial" w:cs="Arial"/>
          <w:lang w:eastAsia="zh-CN"/>
        </w:rPr>
      </w:pPr>
      <w:r>
        <w:rPr>
          <w:rFonts w:ascii="Arial" w:hAnsi="Arial" w:cs="Arial"/>
          <w:lang w:eastAsia="zh-CN"/>
        </w:rPr>
        <w:t xml:space="preserve">6.3.6. Entregas agendadas fora dos horários estabelecidos, ou que apresentem irregularidades, poderão ser reagendadas sem isenção de penalidade, caso o motivo decorra de culpa ou falha da CONTRATADA.</w:t>
      </w:r>
      <w:r>
        <w:rPr>
          <w:rFonts w:ascii="Arial" w:hAnsi="Arial" w:cs="Arial"/>
          <w:lang w:eastAsia="zh-CN"/>
        </w:rPr>
      </w:r>
    </w:p>
    <w:tbl>
      <w:tblPr>
        <w:tblInd w:w="90" w:type="dxa"/>
        <w:tblW w:w="10100" w:type="dxa"/>
        <w:tblBorders/>
        <w:tblLayout w:type="fixed"/>
        <w:tblLook w:val="0000" w:firstRow="0" w:lastRow="0" w:firstColumn="0" w:lastColumn="0" w:noHBand="0" w:noVBand="0"/>
      </w:tblPr>
      <w:tblGrid>
        <w:gridCol w:w="10100"/>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100" w:type="dxa"/>
            <w:textDirection w:val="lrTb"/>
            <w:noWrap w:val="false"/>
          </w:tcPr>
          <w:p w14:paraId="0AA02118" w14:textId="77777777">
            <w:pPr>
              <w:widowControl w:val="false"/>
              <w:pBdr/>
              <w:spacing/>
              <w:ind/>
              <w:jc w:val="center"/>
              <w:rPr>
                <w:rFonts w:ascii="Arial" w:hAnsi="Arial" w:cs="Arial"/>
              </w:rPr>
            </w:pPr>
            <w:r>
              <w:rPr>
                <w:rFonts w:ascii="Arial" w:hAnsi="Arial" w:cs="Arial"/>
                <w:b/>
                <w:bCs/>
              </w:rPr>
              <w:t xml:space="preserve">7. GESTÃO DE CONTRATO E FISCALIZAÇÃO – Art. 6º, XXIII, “f”</w:t>
            </w:r>
            <w:r>
              <w:rPr>
                <w:rFonts w:ascii="Arial" w:hAnsi="Arial" w:cs="Arial"/>
              </w:rPr>
            </w:r>
          </w:p>
        </w:tc>
      </w:tr>
    </w:tbl>
    <w:p w14:paraId="0AFCEDBA" w14:textId="77777777">
      <w:pPr>
        <w:pStyle w:val="896"/>
        <w:pBdr/>
        <w:spacing w:after="0" w:line="360" w:lineRule="auto"/>
        <w:ind/>
        <w:jc w:val="both"/>
        <w:rPr>
          <w:rFonts w:ascii="Arial" w:hAnsi="Arial" w:cs="Arial"/>
        </w:rPr>
      </w:pPr>
      <w:r>
        <w:rPr>
          <w:rFonts w:ascii="Arial" w:hAnsi="Arial" w:cs="Arial"/>
        </w:rPr>
        <w:t xml:space="preserve">7.1. O contrato deverá </w:t>
      </w:r>
      <w:r>
        <w:rPr>
          <w:rFonts w:ascii="Arial" w:hAnsi="Arial" w:cs="Arial"/>
        </w:rPr>
        <w:t xml:space="preserve">ser executado fielmente pelas partes, nos exatos termos do edital, da proposta vencedora e das cláusulas contratuais, observadas as disposições da Lei nº 14.133/2021. Cada parte responderá pelas consequências decorrentes de sua inexecução total ou parcial.</w:t>
      </w:r>
      <w:r>
        <w:rPr>
          <w:rFonts w:ascii="Arial" w:hAnsi="Arial" w:cs="Arial"/>
        </w:rPr>
      </w:r>
    </w:p>
    <w:p w14:paraId="2438AF1F" w14:textId="77777777">
      <w:pPr>
        <w:pStyle w:val="896"/>
        <w:pBdr/>
        <w:spacing w:after="0" w:line="360" w:lineRule="auto"/>
        <w:ind/>
        <w:jc w:val="both"/>
        <w:rPr>
          <w:rFonts w:ascii="Arial" w:hAnsi="Arial" w:cs="Arial"/>
        </w:rPr>
      </w:pPr>
      <w:r>
        <w:rPr>
          <w:rFonts w:ascii="Arial" w:hAnsi="Arial" w:cs="Arial"/>
        </w:rPr>
        <w:t xml:space="preserve">7.2. Ocorrendo imped</w:t>
      </w:r>
      <w:r>
        <w:rPr>
          <w:rFonts w:ascii="Arial" w:hAnsi="Arial" w:cs="Arial"/>
        </w:rPr>
        <w:t xml:space="preserve">imento, ordem formal de paralisação ou suspensão da execução contratual por motivo devidamente justificado, o cronograma de execução será prorrogado automaticamente pelo tempo correspondente, com as devidas anotações no processo, mediante simples apostila.</w:t>
      </w:r>
      <w:r>
        <w:rPr>
          <w:rFonts w:ascii="Arial" w:hAnsi="Arial" w:cs="Arial"/>
        </w:rPr>
      </w:r>
    </w:p>
    <w:p w14:paraId="2DA2F4BB" w14:textId="77777777">
      <w:pPr>
        <w:pStyle w:val="896"/>
        <w:pBdr/>
        <w:spacing w:after="0" w:line="360" w:lineRule="auto"/>
        <w:ind/>
        <w:jc w:val="both"/>
        <w:rPr>
          <w:rFonts w:ascii="Arial" w:hAnsi="Arial" w:cs="Arial"/>
        </w:rPr>
      </w:pPr>
      <w:r>
        <w:rPr>
          <w:rFonts w:ascii="Arial" w:hAnsi="Arial" w:cs="Arial"/>
        </w:rPr>
        <w:t xml:space="preserve">7.3. Toda comunicação entre a Administração e a CONTRATADA deverá ser realizada por escrito, sempre que a formalidade for exigida, admitindo-se, para os atos operacionais e rotineiros, o uso de correio eletrônico institucional (e-mail).</w:t>
      </w:r>
      <w:r>
        <w:rPr>
          <w:rFonts w:ascii="Arial" w:hAnsi="Arial" w:cs="Arial"/>
        </w:rPr>
      </w:r>
    </w:p>
    <w:p w14:paraId="5F9373D0" w14:textId="77777777">
      <w:pPr>
        <w:pStyle w:val="896"/>
        <w:pBdr/>
        <w:spacing w:after="0" w:line="360" w:lineRule="auto"/>
        <w:ind/>
        <w:jc w:val="both"/>
        <w:rPr>
          <w:rFonts w:ascii="Arial" w:hAnsi="Arial" w:cs="Arial"/>
        </w:rPr>
      </w:pPr>
      <w:r>
        <w:rPr>
          <w:rFonts w:ascii="Arial" w:hAnsi="Arial" w:cs="Arial"/>
        </w:rPr>
        <w:t xml:space="preserve">7.4. A Secretaria Municipal de Assistência Social poderá, a qualquer tempo, convocar representante da empresa contratada para reunião presencial ou virtual, com a finalidade de adotar providências imediatas relacionadas à execução do contrato.</w:t>
      </w:r>
      <w:r>
        <w:rPr>
          <w:rFonts w:ascii="Arial" w:hAnsi="Arial" w:cs="Arial"/>
        </w:rPr>
      </w:r>
    </w:p>
    <w:p w14:paraId="36CED026" w14:textId="77777777">
      <w:pPr>
        <w:pStyle w:val="896"/>
        <w:pBdr/>
        <w:spacing w:after="0" w:line="360" w:lineRule="auto"/>
        <w:ind/>
        <w:jc w:val="both"/>
        <w:rPr>
          <w:rFonts w:ascii="Arial" w:hAnsi="Arial" w:cs="Arial"/>
        </w:rPr>
      </w:pPr>
      <w:r>
        <w:rPr>
          <w:rFonts w:ascii="Arial" w:hAnsi="Arial" w:cs="Arial"/>
        </w:rPr>
        <w:t xml:space="preserve">7.5. A execução do contrato será acompanhada, monitorada e fiscalizada por servidor formalmente designado, conforme dispõe o art. 117 da Lei nº 14.133/2021.</w:t>
      </w:r>
      <w:r>
        <w:rPr>
          <w:rFonts w:ascii="Arial" w:hAnsi="Arial" w:cs="Arial"/>
        </w:rPr>
      </w:r>
    </w:p>
    <w:p w14:paraId="371416A0" w14:textId="77777777">
      <w:pPr>
        <w:pStyle w:val="896"/>
        <w:pBdr/>
        <w:spacing w:after="0" w:line="360" w:lineRule="auto"/>
        <w:ind/>
        <w:jc w:val="both"/>
        <w:rPr>
          <w:rFonts w:ascii="Arial" w:hAnsi="Arial" w:cs="Arial"/>
        </w:rPr>
      </w:pPr>
      <w:r>
        <w:rPr>
          <w:rFonts w:ascii="Arial" w:hAnsi="Arial" w:cs="Arial"/>
        </w:rPr>
        <w:t xml:space="preserve">7.5.1. Considerando que se trata de serviço comum</w:t>
      </w:r>
      <w:r>
        <w:rPr>
          <w:rFonts w:ascii="Arial" w:hAnsi="Arial" w:cs="Arial"/>
        </w:rPr>
        <w:t xml:space="preserve"> de fornecimento de cartões magnéticos com sistema de gestão e entrega sob demanda, a fiscalização contratual poderá ser centralizada em único fiscal (titular e respectivo substituto), não sendo necessária a distinção entre fiscal técnico e administrativo.</w:t>
      </w:r>
      <w:r>
        <w:rPr>
          <w:rFonts w:ascii="Arial" w:hAnsi="Arial" w:cs="Arial"/>
        </w:rPr>
      </w:r>
    </w:p>
    <w:p w14:paraId="18B4C348" w14:textId="77777777">
      <w:pPr>
        <w:pStyle w:val="896"/>
        <w:pBdr/>
        <w:spacing w:after="0" w:line="360" w:lineRule="auto"/>
        <w:ind/>
        <w:jc w:val="both"/>
        <w:rPr>
          <w:rFonts w:ascii="Arial" w:hAnsi="Arial" w:cs="Arial"/>
        </w:rPr>
      </w:pPr>
      <w:r>
        <w:rPr>
          <w:rFonts w:ascii="Arial" w:hAnsi="Arial" w:cs="Arial"/>
        </w:rPr>
        <w:t xml:space="preserve">7.6. Compete ao fiscal do contrato assegurar o fiel cumprimento das condições pactuadas, com vistas à obtenção dos resultados esperados pela Administração Pública, conforme dispõe o art. 22, inciso VI, do Decreto nº 11.246/2022.</w:t>
      </w:r>
      <w:r>
        <w:rPr>
          <w:rFonts w:ascii="Arial" w:hAnsi="Arial" w:cs="Arial"/>
        </w:rPr>
      </w:r>
    </w:p>
    <w:p w14:paraId="69B45BBF" w14:textId="77777777">
      <w:pPr>
        <w:pStyle w:val="896"/>
        <w:pBdr/>
        <w:spacing w:after="0" w:line="360" w:lineRule="auto"/>
        <w:ind/>
        <w:jc w:val="both"/>
        <w:rPr>
          <w:rFonts w:ascii="Arial" w:hAnsi="Arial" w:cs="Arial"/>
        </w:rPr>
      </w:pPr>
      <w:r>
        <w:rPr>
          <w:rFonts w:ascii="Arial" w:hAnsi="Arial" w:cs="Arial"/>
        </w:rPr>
        <w:t xml:space="preserve">7.6.1. O fiscal do contrato deverá registrar, no</w:t>
      </w:r>
      <w:r>
        <w:rPr>
          <w:rFonts w:ascii="Arial" w:hAnsi="Arial" w:cs="Arial"/>
        </w:rPr>
        <w:t xml:space="preserve"> histórico de gerenciamento, todas as ocorrências relativas à execução contratual, com a descrição dos fatos, faltas ou defeitos observados e medidas adotadas para sua regularização (Lei nº 14.133/2021, art. 117, §1º e Decreto nº 11.246/2022, art. 22, II).</w:t>
      </w:r>
      <w:r>
        <w:rPr>
          <w:rFonts w:ascii="Arial" w:hAnsi="Arial" w:cs="Arial"/>
        </w:rPr>
      </w:r>
    </w:p>
    <w:p w14:paraId="4730B03D" w14:textId="77777777">
      <w:pPr>
        <w:pStyle w:val="896"/>
        <w:pBdr/>
        <w:spacing w:after="0" w:line="360" w:lineRule="auto"/>
        <w:ind/>
        <w:jc w:val="both"/>
        <w:rPr>
          <w:rFonts w:ascii="Arial" w:hAnsi="Arial" w:cs="Arial"/>
        </w:rPr>
      </w:pPr>
      <w:r>
        <w:rPr>
          <w:rFonts w:ascii="Arial" w:hAnsi="Arial" w:cs="Arial"/>
        </w:rPr>
        <w:t xml:space="preserve">7.6.2. Caso verifique irregularidades ou divergências na execução contratual, o fiscal emitirá notificação formal à contratada, fixando prazo para correção (art. 22, III do Decreto nº 11.246/2022).</w:t>
      </w:r>
      <w:r>
        <w:rPr>
          <w:rFonts w:ascii="Arial" w:hAnsi="Arial" w:cs="Arial"/>
        </w:rPr>
      </w:r>
    </w:p>
    <w:p w14:paraId="31E5E5AF" w14:textId="77777777">
      <w:pPr>
        <w:pStyle w:val="896"/>
        <w:pBdr/>
        <w:spacing w:after="0" w:line="360" w:lineRule="auto"/>
        <w:ind/>
        <w:jc w:val="both"/>
        <w:rPr>
          <w:rFonts w:ascii="Arial" w:hAnsi="Arial" w:cs="Arial"/>
        </w:rPr>
      </w:pPr>
      <w:r>
        <w:rPr>
          <w:rFonts w:ascii="Arial" w:hAnsi="Arial" w:cs="Arial"/>
        </w:rPr>
        <w:t xml:space="preserve">7.6.3. Situações que ultrapassarem a competência do fiscal deverão ser comunicadas à autoridade competente da Secretaria, com a maior brevidade possível, para que sejam adotadas as providências cabíveis (Decreto nº 11.246/2022, art. 22, IV).</w:t>
      </w:r>
      <w:r>
        <w:rPr>
          <w:rFonts w:ascii="Arial" w:hAnsi="Arial" w:cs="Arial"/>
        </w:rPr>
      </w:r>
    </w:p>
    <w:p w14:paraId="5BA93607" w14:textId="77777777">
      <w:pPr>
        <w:pStyle w:val="896"/>
        <w:pBdr/>
        <w:spacing w:after="0" w:line="360" w:lineRule="auto"/>
        <w:ind/>
        <w:jc w:val="both"/>
        <w:rPr>
          <w:rFonts w:ascii="Arial" w:hAnsi="Arial" w:cs="Arial"/>
        </w:rPr>
      </w:pPr>
      <w:r>
        <w:rPr>
          <w:rFonts w:ascii="Arial" w:hAnsi="Arial" w:cs="Arial"/>
        </w:rPr>
        <w:t xml:space="preserve">7.6.3.1. Ocorrências que possam inviabilizar a continuidade da execução contratual ou comprometer a entrega de cartões no prazo, deverão ser imediatamente informadas à autoridade superior (Decreto nº 11.246/2022, art. 22, V).</w:t>
      </w:r>
      <w:r>
        <w:rPr>
          <w:rFonts w:ascii="Arial" w:hAnsi="Arial" w:cs="Arial"/>
        </w:rPr>
      </w:r>
    </w:p>
    <w:p w14:paraId="058A8104" w14:textId="77777777">
      <w:pPr>
        <w:pStyle w:val="896"/>
        <w:pBdr/>
        <w:spacing w:after="0" w:line="360" w:lineRule="auto"/>
        <w:ind/>
        <w:jc w:val="both"/>
        <w:rPr>
          <w:rFonts w:ascii="Arial" w:hAnsi="Arial" w:cs="Arial"/>
        </w:rPr>
      </w:pPr>
      <w:r>
        <w:rPr>
          <w:rFonts w:ascii="Arial" w:hAnsi="Arial" w:cs="Arial"/>
        </w:rPr>
        <w:t xml:space="preserve">7.7. O fiscal deverá acompanhar a manutenção das condições de habilitação jurídic</w:t>
      </w:r>
      <w:r>
        <w:rPr>
          <w:rFonts w:ascii="Arial" w:hAnsi="Arial" w:cs="Arial"/>
        </w:rPr>
        <w:t xml:space="preserve">a, fiscal e trabalhista da contratada durante a vigência do contrato, bem como acompanhar a emissão do empenho, o pagamento, a aplicação de glosas e a formalização de apostilas e termos aditivos, quando for o caso (Decreto nº 11.246/2022, art. 23, I e II).</w:t>
      </w:r>
      <w:r>
        <w:rPr>
          <w:rFonts w:ascii="Arial" w:hAnsi="Arial" w:cs="Arial"/>
        </w:rPr>
      </w:r>
    </w:p>
    <w:p w14:paraId="2D841B18" w14:textId="77777777">
      <w:pPr>
        <w:pStyle w:val="896"/>
        <w:pBdr/>
        <w:spacing w:after="0" w:line="360" w:lineRule="auto"/>
        <w:ind/>
        <w:jc w:val="both"/>
        <w:rPr>
          <w:rFonts w:ascii="Arial" w:hAnsi="Arial" w:cs="Arial"/>
        </w:rPr>
      </w:pPr>
      <w:r>
        <w:rPr>
          <w:rFonts w:ascii="Arial" w:hAnsi="Arial" w:cs="Arial"/>
        </w:rPr>
        <w:t xml:space="preserve">7.7.1. Em caso de descumprimento contratual, o fiscal atuará tempestivamente na correção do problema, comunicando imediatamente as medidas adotadas e atualizando o histórico de gerenciamento (Decreto nº 11.246/2022, art. 23, IV).</w:t>
      </w:r>
      <w:r>
        <w:rPr>
          <w:rFonts w:ascii="Arial" w:hAnsi="Arial" w:cs="Arial"/>
        </w:rPr>
      </w:r>
    </w:p>
    <w:p w14:paraId="40103ABD" w14:textId="77777777">
      <w:pPr>
        <w:pStyle w:val="896"/>
        <w:pBdr/>
        <w:spacing w:after="0" w:line="360" w:lineRule="auto"/>
        <w:ind/>
        <w:jc w:val="both"/>
        <w:rPr>
          <w:rFonts w:ascii="Arial" w:hAnsi="Arial" w:cs="Arial"/>
        </w:rPr>
      </w:pPr>
      <w:r>
        <w:rPr>
          <w:rFonts w:ascii="Arial" w:hAnsi="Arial" w:cs="Arial"/>
        </w:rPr>
        <w:t xml:space="preserve">7.8. O fiscal manterá atualizado o processo de a</w:t>
      </w:r>
      <w:r>
        <w:rPr>
          <w:rFonts w:ascii="Arial" w:hAnsi="Arial" w:cs="Arial"/>
        </w:rPr>
        <w:t xml:space="preserve">companhamento contratual, contendo documentos como ordens de fornecimento, relatórios de entrega, notificações, ajustes e prorrogações, elaborando relatório gerencial com vistas ao aperfeiçoamento da gestão contratual (Decreto nº 11.246/2022, art. 21, IV).</w:t>
      </w:r>
      <w:r>
        <w:rPr>
          <w:rFonts w:ascii="Arial" w:hAnsi="Arial" w:cs="Arial"/>
        </w:rPr>
      </w:r>
    </w:p>
    <w:p w14:paraId="49AA4864" w14:textId="77777777">
      <w:pPr>
        <w:pStyle w:val="896"/>
        <w:pBdr/>
        <w:spacing w:after="0" w:line="360" w:lineRule="auto"/>
        <w:ind/>
        <w:jc w:val="both"/>
        <w:rPr>
          <w:rFonts w:ascii="Arial" w:hAnsi="Arial" w:cs="Arial"/>
        </w:rPr>
      </w:pPr>
      <w:r>
        <w:rPr>
          <w:rFonts w:ascii="Arial" w:hAnsi="Arial" w:cs="Arial"/>
        </w:rPr>
        <w:t xml:space="preserve">7.9. O fiscal deverá ainda </w:t>
      </w:r>
      <w:r>
        <w:rPr>
          <w:rFonts w:ascii="Arial" w:hAnsi="Arial" w:cs="Arial"/>
        </w:rPr>
        <w:t xml:space="preserve">monitorar, ao longo da vigência contratual, a regularidade das condições de habilitação e execução financeira da contratada, registrando eventuais restrições que impeçam o pagamento no relatório de riscos eventuais (art. 21, III do Decreto nº 11.246/2022).</w:t>
      </w:r>
      <w:r>
        <w:rPr>
          <w:rFonts w:ascii="Arial" w:hAnsi="Arial" w:cs="Arial"/>
        </w:rPr>
      </w:r>
    </w:p>
    <w:p w14:paraId="24A7F51A" w14:textId="77777777">
      <w:pPr>
        <w:pStyle w:val="896"/>
        <w:pBdr/>
        <w:spacing w:after="0" w:line="360" w:lineRule="auto"/>
        <w:ind/>
        <w:jc w:val="both"/>
        <w:rPr>
          <w:rFonts w:ascii="Arial" w:hAnsi="Arial" w:cs="Arial"/>
        </w:rPr>
      </w:pPr>
      <w:r>
        <w:rPr>
          <w:rFonts w:ascii="Arial" w:hAnsi="Arial" w:cs="Arial"/>
        </w:rPr>
        <w:t xml:space="preserve">7.10. Identificada hipótese de inexecução, </w:t>
      </w:r>
      <w:r>
        <w:rPr>
          <w:rFonts w:ascii="Arial" w:hAnsi="Arial" w:cs="Arial"/>
        </w:rPr>
        <w:t xml:space="preserve">o fiscal tomará as providências necessárias para a instauração do Processo Administrativo de Responsabilização, conforme art. 158 da Lei nº 14.133/2021, encaminhando o caso à comissão designada ou autoridade competente (Decreto nº 11.246/2022, art. 21, X).</w:t>
      </w:r>
      <w:r>
        <w:rPr>
          <w:rFonts w:ascii="Arial" w:hAnsi="Arial" w:cs="Arial"/>
        </w:rPr>
      </w:r>
    </w:p>
    <w:p w14:paraId="5A72B8F1" w14:textId="77777777">
      <w:pPr>
        <w:pStyle w:val="896"/>
        <w:pBdr/>
        <w:spacing w:after="0" w:line="360" w:lineRule="auto"/>
        <w:ind/>
        <w:jc w:val="both"/>
        <w:rPr>
          <w:rFonts w:ascii="Arial" w:hAnsi="Arial" w:cs="Arial"/>
        </w:rPr>
      </w:pPr>
      <w:r>
        <w:rPr>
          <w:rFonts w:ascii="Arial" w:hAnsi="Arial" w:cs="Arial"/>
        </w:rPr>
        <w:t xml:space="preserve">7.11. Ao final da execução do contrato ou da vigênc</w:t>
      </w:r>
      <w:r>
        <w:rPr>
          <w:rFonts w:ascii="Arial" w:hAnsi="Arial" w:cs="Arial"/>
        </w:rPr>
        <w:t xml:space="preserve">ia da Ata de Registro de Preços, o fiscal elaborará relatório conclusivo, com avaliação sobre a consecução dos objetivos da contratação, cumprimento das metas pactuadas e sugestões de aprimoramento da política pública (Decreto nº 11.246/2022, art. 21, VI).</w:t>
      </w:r>
      <w:r>
        <w:rPr>
          <w:rFonts w:ascii="Arial" w:hAnsi="Arial" w:cs="Arial"/>
        </w:rPr>
      </w:r>
    </w:p>
    <w:tbl>
      <w:tblPr>
        <w:tblInd w:w="103" w:type="dxa"/>
        <w:tblW w:w="10075" w:type="dxa"/>
        <w:tblBorders/>
        <w:tblLayout w:type="fixed"/>
        <w:tblLook w:val="0000" w:firstRow="0" w:lastRow="0" w:firstColumn="0" w:lastColumn="0" w:noHBand="0" w:noVBand="0"/>
      </w:tblPr>
      <w:tblGrid>
        <w:gridCol w:w="10075"/>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075" w:type="dxa"/>
            <w:textDirection w:val="lrTb"/>
            <w:noWrap w:val="false"/>
          </w:tcPr>
          <w:p w14:paraId="7E2DCEDD" w14:textId="77777777">
            <w:pPr>
              <w:widowControl w:val="false"/>
              <w:pBdr/>
              <w:spacing/>
              <w:ind w:left="-89"/>
              <w:jc w:val="center"/>
              <w:rPr>
                <w:rFonts w:ascii="Arial" w:hAnsi="Arial" w:cs="Arial"/>
              </w:rPr>
            </w:pPr>
            <w:r>
              <w:rPr>
                <w:rFonts w:ascii="Arial" w:hAnsi="Arial" w:cs="Arial"/>
                <w:b/>
                <w:bCs/>
              </w:rPr>
              <w:t xml:space="preserve">8. CRITÉRIOS DE MEDIÇÃO E PAGAMENTO – Art. 6º, XXIII, “g”</w:t>
            </w:r>
            <w:r>
              <w:rPr>
                <w:rFonts w:ascii="Arial" w:hAnsi="Arial" w:cs="Arial"/>
              </w:rPr>
            </w:r>
          </w:p>
        </w:tc>
      </w:tr>
    </w:tbl>
    <w:p w14:paraId="6598513A" w14:textId="77777777">
      <w:pPr>
        <w:pBdr/>
        <w:spacing w:line="360" w:lineRule="auto"/>
        <w:ind/>
        <w:jc w:val="both"/>
        <w:rPr>
          <w:rFonts w:ascii="Arial" w:hAnsi="Arial" w:cs="Arial"/>
        </w:rPr>
      </w:pPr>
      <w:r>
        <w:rPr>
          <w:rFonts w:ascii="Arial" w:hAnsi="Arial" w:cs="Arial"/>
        </w:rPr>
        <w:t xml:space="preserve">8.1. Liquidação</w:t>
      </w:r>
      <w:r>
        <w:rPr>
          <w:rFonts w:ascii="Arial" w:hAnsi="Arial" w:cs="Arial"/>
        </w:rPr>
      </w:r>
    </w:p>
    <w:p w14:paraId="1F711702" w14:textId="77777777">
      <w:pPr>
        <w:pBdr/>
        <w:spacing w:line="360" w:lineRule="auto"/>
        <w:ind/>
        <w:jc w:val="both"/>
        <w:rPr>
          <w:rFonts w:ascii="Arial" w:hAnsi="Arial" w:cs="Arial"/>
        </w:rPr>
      </w:pPr>
      <w:r>
        <w:rPr>
          <w:rFonts w:ascii="Arial" w:hAnsi="Arial" w:cs="Arial"/>
        </w:rPr>
        <w:t xml:space="preserve">8.1.1. Recebida a Nota Fiscal ou documento de cobrança equivalente, correrá o prazo de 10 (dez) dias úteis para fins de liquidação, prorrogáveis por igual período.</w:t>
      </w:r>
      <w:r>
        <w:rPr>
          <w:rFonts w:ascii="Arial" w:hAnsi="Arial" w:cs="Arial"/>
        </w:rPr>
      </w:r>
    </w:p>
    <w:p w14:paraId="508C61A5" w14:textId="77777777">
      <w:pPr>
        <w:pBdr/>
        <w:spacing w:line="360" w:lineRule="auto"/>
        <w:ind/>
        <w:jc w:val="both"/>
        <w:rPr>
          <w:rFonts w:ascii="Arial" w:hAnsi="Arial" w:cs="Arial"/>
        </w:rPr>
      </w:pPr>
      <w:r>
        <w:rPr>
          <w:rFonts w:ascii="Arial" w:hAnsi="Arial" w:cs="Arial"/>
        </w:rPr>
        <w:t xml:space="preserve">8.1.2. Para fins de liquidação, o setor competente deverá verificar se a nota fiscal ou instrumento de</w:t>
      </w:r>
      <w:r>
        <w:rPr>
          <w:rFonts w:ascii="Arial" w:hAnsi="Arial" w:cs="Arial"/>
        </w:rPr>
      </w:r>
    </w:p>
    <w:p w14:paraId="348AE071" w14:textId="77777777">
      <w:pPr>
        <w:pBdr/>
        <w:spacing w:line="360" w:lineRule="auto"/>
        <w:ind/>
        <w:jc w:val="both"/>
        <w:rPr>
          <w:rFonts w:ascii="Arial" w:hAnsi="Arial" w:cs="Arial"/>
        </w:rPr>
      </w:pPr>
      <w:r>
        <w:rPr>
          <w:rFonts w:ascii="Arial" w:hAnsi="Arial" w:cs="Arial"/>
        </w:rPr>
        <w:t xml:space="preserve">cobrança equivalente apresentado expressa os elementos necessários e essenciais do documento.</w:t>
      </w:r>
      <w:r>
        <w:rPr>
          <w:rFonts w:ascii="Arial" w:hAnsi="Arial" w:cs="Arial"/>
        </w:rPr>
      </w:r>
    </w:p>
    <w:p w14:paraId="4ED11F4C" w14:textId="77777777">
      <w:pPr>
        <w:pBdr/>
        <w:spacing w:line="360" w:lineRule="auto"/>
        <w:ind/>
        <w:jc w:val="both"/>
        <w:rPr>
          <w:rFonts w:ascii="Arial" w:hAnsi="Arial" w:cs="Arial"/>
        </w:rPr>
      </w:pPr>
      <w:r>
        <w:rPr>
          <w:rFonts w:ascii="Arial" w:hAnsi="Arial" w:cs="Arial"/>
        </w:rPr>
        <w:t xml:space="preserve">8.1.3. Havendo erro na apresentação da nota fiscal ou instrumen</w:t>
      </w:r>
      <w:r>
        <w:rPr>
          <w:rFonts w:ascii="Arial" w:hAnsi="Arial" w:cs="Arial"/>
        </w:rPr>
        <w:t xml:space="preserve">to de cobrança equivalente, ou circunstância que impeça a liquidação da despesa, esta ficará sobrestada até que o contratado providencie as medidas saneadoras, reiniciando-se o prazo após a comprovação da regularização da situação, sem ônus ao contratante;</w:t>
      </w:r>
      <w:r>
        <w:rPr>
          <w:rFonts w:ascii="Arial" w:hAnsi="Arial" w:cs="Arial"/>
        </w:rPr>
      </w:r>
    </w:p>
    <w:p w14:paraId="47AA950E" w14:textId="77777777">
      <w:pPr>
        <w:pBdr/>
        <w:spacing w:line="360" w:lineRule="auto"/>
        <w:ind/>
        <w:jc w:val="both"/>
        <w:rPr>
          <w:rFonts w:ascii="Arial" w:hAnsi="Arial" w:cs="Arial"/>
        </w:rPr>
      </w:pPr>
      <w:r>
        <w:rPr>
          <w:rFonts w:ascii="Arial" w:hAnsi="Arial" w:cs="Arial"/>
        </w:rPr>
        <w:t xml:space="preserve">8.1.4. A n</w:t>
      </w:r>
      <w:r>
        <w:rPr>
          <w:rFonts w:ascii="Arial" w:hAnsi="Arial" w:cs="Arial"/>
        </w:rPr>
        <w:t xml:space="preserve">ota fiscal ou instrumento de cobrança equivalente deverá ser obrigatoriamente acompanhado da comprovação da regularidade fiscal, constatada mediante consulta aos sítios eletrônicos oficiais ou à documentação mencionada no art. 68 da Lei nº 14.133, de 2021.</w:t>
      </w:r>
      <w:r>
        <w:rPr>
          <w:rFonts w:ascii="Arial" w:hAnsi="Arial" w:cs="Arial"/>
        </w:rPr>
      </w:r>
    </w:p>
    <w:p w14:paraId="762509E2" w14:textId="77777777">
      <w:pPr>
        <w:pBdr/>
        <w:spacing w:line="360" w:lineRule="auto"/>
        <w:ind/>
        <w:jc w:val="both"/>
        <w:rPr>
          <w:rFonts w:ascii="Arial" w:hAnsi="Arial" w:cs="Arial"/>
        </w:rPr>
      </w:pPr>
      <w:r>
        <w:rPr>
          <w:rFonts w:ascii="Arial" w:hAnsi="Arial" w:cs="Arial"/>
        </w:rPr>
        <w:t xml:space="preserve">8.1.5. A Administração deverá realizar consulta para:</w:t>
      </w:r>
      <w:r>
        <w:rPr>
          <w:rFonts w:ascii="Arial" w:hAnsi="Arial" w:cs="Arial"/>
        </w:rPr>
      </w:r>
    </w:p>
    <w:p w14:paraId="05F90E1A" w14:textId="77777777">
      <w:pPr>
        <w:pBdr/>
        <w:spacing w:line="360" w:lineRule="auto"/>
        <w:ind/>
        <w:jc w:val="both"/>
        <w:rPr>
          <w:rFonts w:ascii="Arial" w:hAnsi="Arial" w:cs="Arial"/>
        </w:rPr>
      </w:pPr>
      <w:r>
        <w:rPr>
          <w:rFonts w:ascii="Arial" w:hAnsi="Arial" w:cs="Arial"/>
        </w:rPr>
        <w:t xml:space="preserve">a) verificar a manutenção das condições de habilitação exigidas no edital;</w:t>
      </w:r>
      <w:r>
        <w:rPr>
          <w:rFonts w:ascii="Arial" w:hAnsi="Arial" w:cs="Arial"/>
        </w:rPr>
      </w:r>
    </w:p>
    <w:p w14:paraId="3E9EBD9B" w14:textId="77777777">
      <w:pPr>
        <w:pBdr/>
        <w:spacing w:line="360" w:lineRule="auto"/>
        <w:ind/>
        <w:jc w:val="both"/>
        <w:rPr>
          <w:rFonts w:ascii="Arial" w:hAnsi="Arial" w:cs="Arial"/>
        </w:rPr>
      </w:pPr>
      <w:r>
        <w:rPr>
          <w:rFonts w:ascii="Arial" w:hAnsi="Arial" w:cs="Arial"/>
        </w:rPr>
        <w:t xml:space="preserve">b) identificar possível razão que impeça a participação em licitação, no âmbito do órgão ou entidade, proibição de contratar com o Poder Público, bem como ocorrências impeditivas indiretas.</w:t>
      </w:r>
      <w:r>
        <w:rPr>
          <w:rFonts w:ascii="Arial" w:hAnsi="Arial" w:cs="Arial"/>
        </w:rPr>
      </w:r>
    </w:p>
    <w:p w14:paraId="6ADCCC0E" w14:textId="77777777">
      <w:pPr>
        <w:pBdr/>
        <w:spacing w:line="360" w:lineRule="auto"/>
        <w:ind/>
        <w:jc w:val="both"/>
        <w:rPr>
          <w:rFonts w:ascii="Arial" w:hAnsi="Arial" w:cs="Arial"/>
        </w:rPr>
      </w:pPr>
      <w:r>
        <w:rPr>
          <w:rFonts w:ascii="Arial" w:hAnsi="Arial" w:cs="Arial"/>
        </w:rPr>
        <w:t xml:space="preserve">8.1.6. Constatando-se, a situação de irregularidade do</w:t>
      </w:r>
      <w:r>
        <w:rPr>
          <w:rFonts w:ascii="Arial" w:hAnsi="Arial" w:cs="Arial"/>
        </w:rPr>
        <w:t xml:space="preserve"> contratado, será providenciada sua notificação, por escrito, para que, no prazo de 5 (cinco) dias úteis, regularize sua situação ou, no mesmo prazo, apresente sua defesa. O prazo poderá ser prorrogado uma vez, por igual período, a critério do contratante.</w:t>
      </w:r>
      <w:r>
        <w:rPr>
          <w:rFonts w:ascii="Arial" w:hAnsi="Arial" w:cs="Arial"/>
        </w:rPr>
      </w:r>
    </w:p>
    <w:p w14:paraId="338D32BE" w14:textId="77777777">
      <w:pPr>
        <w:pBdr/>
        <w:spacing w:line="360" w:lineRule="auto"/>
        <w:ind/>
        <w:jc w:val="both"/>
        <w:rPr>
          <w:rFonts w:ascii="Arial" w:hAnsi="Arial" w:cs="Arial"/>
        </w:rPr>
      </w:pPr>
      <w:r>
        <w:rPr>
          <w:rFonts w:ascii="Arial" w:hAnsi="Arial" w:cs="Arial"/>
        </w:rPr>
        <w:t xml:space="preserve">8.1.7. Não havendo regularização ou sendo a defesa considerada improcedente, o contratante deverá comunicar aos órgãos</w:t>
      </w:r>
      <w:r>
        <w:rPr>
          <w:rFonts w:ascii="Arial" w:hAnsi="Arial" w:cs="Arial"/>
        </w:rPr>
        <w:t xml:space="preserve"> responsáveis pela fiscalização da regularidade fiscal quanto à inadimplência do contratado, bem como quanto à existência de pagamento a ser efetuado, para que sejam acionados os meios pertinentes e necessários para garantir o recebimento de seus créditos.</w:t>
      </w:r>
      <w:r>
        <w:rPr>
          <w:rFonts w:ascii="Arial" w:hAnsi="Arial" w:cs="Arial"/>
        </w:rPr>
      </w:r>
    </w:p>
    <w:p w14:paraId="4AE06E07" w14:textId="77777777">
      <w:pPr>
        <w:pBdr/>
        <w:spacing w:line="360" w:lineRule="auto"/>
        <w:ind/>
        <w:jc w:val="both"/>
        <w:rPr>
          <w:rFonts w:ascii="Arial" w:hAnsi="Arial" w:cs="Arial"/>
        </w:rPr>
      </w:pPr>
      <w:r>
        <w:rPr>
          <w:rFonts w:ascii="Arial" w:hAnsi="Arial" w:cs="Arial"/>
        </w:rPr>
        <w:t xml:space="preserve">8.1.8. Persistindo a irregularidade, o contratante deverá adotar as medidas necessárias à rescisão contratual nos autos do processo administrativo correspondente, assegurada ao contratado a ampla defesa.</w:t>
      </w:r>
      <w:r>
        <w:rPr>
          <w:rFonts w:ascii="Arial" w:hAnsi="Arial" w:cs="Arial"/>
        </w:rPr>
      </w:r>
    </w:p>
    <w:p w14:paraId="1EE9D591" w14:textId="77777777">
      <w:pPr>
        <w:pBdr/>
        <w:spacing w:line="360" w:lineRule="auto"/>
        <w:ind/>
        <w:jc w:val="both"/>
        <w:rPr>
          <w:rFonts w:ascii="Arial" w:hAnsi="Arial" w:cs="Arial"/>
        </w:rPr>
      </w:pPr>
      <w:r>
        <w:rPr>
          <w:rFonts w:ascii="Arial" w:hAnsi="Arial" w:cs="Arial"/>
        </w:rPr>
        <w:t xml:space="preserve">8.1.9. Havendo a efetiva execução do objeto, os pagamentos serão realizados normalmente, até que se decida pela rescisão do contrato, caso o contratado não regularize sua situação.</w:t>
      </w:r>
      <w:r>
        <w:rPr>
          <w:rFonts w:ascii="Arial" w:hAnsi="Arial" w:cs="Arial"/>
        </w:rPr>
      </w:r>
    </w:p>
    <w:p w14:paraId="0BB2D90C" w14:textId="77777777">
      <w:pPr>
        <w:pBdr/>
        <w:spacing w:line="360" w:lineRule="auto"/>
        <w:ind/>
        <w:jc w:val="both"/>
        <w:rPr>
          <w:rFonts w:ascii="Arial" w:hAnsi="Arial" w:cs="Arial"/>
        </w:rPr>
      </w:pPr>
      <w:r>
        <w:rPr>
          <w:rFonts w:ascii="Arial" w:hAnsi="Arial" w:cs="Arial"/>
        </w:rPr>
        <w:t xml:space="preserve">8.2. Prazo de pagamento</w:t>
      </w:r>
      <w:r>
        <w:rPr>
          <w:rFonts w:ascii="Arial" w:hAnsi="Arial" w:cs="Arial"/>
        </w:rPr>
      </w:r>
    </w:p>
    <w:p w14:paraId="673D4BC4" w14:textId="77777777">
      <w:pPr>
        <w:pBdr/>
        <w:spacing w:line="360" w:lineRule="auto"/>
        <w:ind/>
        <w:jc w:val="both"/>
        <w:rPr>
          <w:rFonts w:ascii="Arial" w:hAnsi="Arial" w:cs="Arial"/>
        </w:rPr>
      </w:pPr>
      <w:r>
        <w:rPr>
          <w:rFonts w:ascii="Arial" w:hAnsi="Arial" w:cs="Arial"/>
        </w:rPr>
        <w:t xml:space="preserve">8.2.1. O pagamento ocorrerá em até 30 (trinta) dias a contar da data de entrega dos produtos, mediante apresentação de nota fiscal e após atesto do setor competente, nos termos da Lei Federal nº 14.133/2021.</w:t>
      </w:r>
      <w:r>
        <w:rPr>
          <w:rFonts w:ascii="Arial" w:hAnsi="Arial" w:cs="Arial"/>
        </w:rPr>
      </w:r>
    </w:p>
    <w:p w14:paraId="35909710" w14:textId="77777777">
      <w:pPr>
        <w:pBdr/>
        <w:spacing w:line="360" w:lineRule="auto"/>
        <w:ind/>
        <w:jc w:val="both"/>
        <w:rPr>
          <w:rFonts w:ascii="Arial" w:hAnsi="Arial" w:cs="Arial"/>
        </w:rPr>
      </w:pPr>
      <w:r>
        <w:rPr>
          <w:rFonts w:ascii="Arial" w:hAnsi="Arial" w:cs="Arial"/>
        </w:rPr>
        <w:t xml:space="preserve">8.2.2. No caso de atraso pelo </w:t>
      </w:r>
      <w:r>
        <w:rPr>
          <w:rFonts w:ascii="Arial" w:hAnsi="Arial" w:cs="Arial"/>
        </w:rPr>
        <w:t xml:space="preserve">Contratante, os valores devidos ao contratado serão atualizados monetariamente entre o termo final do prazo de pagamento até a data de sua efetiva realização, mediante aplicação do índice Nacional de Preços ao Consumidor Amplo (IPCA) de correção monetária.</w:t>
      </w:r>
      <w:r>
        <w:rPr>
          <w:rFonts w:ascii="Arial" w:hAnsi="Arial" w:cs="Arial"/>
        </w:rPr>
      </w:r>
    </w:p>
    <w:p w14:paraId="07001A21" w14:textId="77777777">
      <w:pPr>
        <w:pBdr/>
        <w:spacing w:line="360" w:lineRule="auto"/>
        <w:ind/>
        <w:jc w:val="both"/>
        <w:rPr>
          <w:rFonts w:ascii="Arial" w:hAnsi="Arial" w:cs="Arial"/>
        </w:rPr>
      </w:pPr>
      <w:r>
        <w:rPr>
          <w:rFonts w:ascii="Arial" w:hAnsi="Arial" w:cs="Arial"/>
        </w:rPr>
        <w:t xml:space="preserve">8.3. Forma de pagamento</w:t>
      </w:r>
      <w:r>
        <w:rPr>
          <w:rFonts w:ascii="Arial" w:hAnsi="Arial" w:cs="Arial"/>
        </w:rPr>
      </w:r>
    </w:p>
    <w:p w14:paraId="29F72B3F" w14:textId="77777777">
      <w:pPr>
        <w:pBdr/>
        <w:spacing w:line="360" w:lineRule="auto"/>
        <w:ind/>
        <w:jc w:val="both"/>
        <w:rPr>
          <w:rFonts w:ascii="Arial" w:hAnsi="Arial" w:cs="Arial"/>
        </w:rPr>
      </w:pPr>
      <w:r>
        <w:rPr>
          <w:rFonts w:ascii="Arial" w:hAnsi="Arial" w:cs="Arial"/>
        </w:rPr>
        <w:t xml:space="preserve">8.3.1. O pagamento será realizado por meio de ordem bancária, para crédit</w:t>
      </w:r>
      <w:r>
        <w:rPr>
          <w:rFonts w:ascii="Arial" w:hAnsi="Arial" w:cs="Arial"/>
        </w:rPr>
        <w:t xml:space="preserve">o em banco, agência e conta corrente indicados pelo contratado. Será considerada data do pagamento o dia em que constar como emitida a ordem bancária para pagamento. Quando do pagamento, será efetuada a retenção tributária prevista na legislação aplicável.</w:t>
      </w:r>
      <w:r>
        <w:rPr>
          <w:rFonts w:ascii="Arial" w:hAnsi="Arial" w:cs="Arial"/>
        </w:rPr>
      </w:r>
    </w:p>
    <w:p w14:paraId="0A42DFC4" w14:textId="77777777">
      <w:pPr>
        <w:pBdr/>
        <w:spacing w:line="360" w:lineRule="auto"/>
        <w:ind/>
        <w:jc w:val="both"/>
        <w:rPr>
          <w:rFonts w:ascii="Arial" w:hAnsi="Arial" w:cs="Arial"/>
        </w:rPr>
      </w:pPr>
      <w:r>
        <w:rPr>
          <w:rFonts w:ascii="Arial" w:hAnsi="Arial" w:cs="Arial"/>
        </w:rPr>
        <w:t xml:space="preserve">8.3.2. Independentemente do percentual de tributo inserido na planilha, quando houver, serão retidos na fonte, quando da realização do pagamento, os percentuais estabelecidos na legislação vigente.</w:t>
      </w:r>
      <w:r>
        <w:rPr>
          <w:rFonts w:ascii="Arial" w:hAnsi="Arial" w:cs="Arial"/>
        </w:rPr>
      </w:r>
    </w:p>
    <w:p w14:paraId="428F0771" w14:textId="77777777">
      <w:pPr>
        <w:pBdr/>
        <w:spacing w:line="360" w:lineRule="auto"/>
        <w:ind/>
        <w:jc w:val="both"/>
        <w:rPr>
          <w:rFonts w:ascii="Arial" w:hAnsi="Arial" w:cs="Arial"/>
        </w:rPr>
      </w:pPr>
      <w:r>
        <w:rPr>
          <w:rFonts w:ascii="Arial" w:hAnsi="Arial" w:cs="Arial"/>
        </w:rPr>
        <w:t xml:space="preserve">8.3.3. O contratado regularmente optante pelo Simples Nacional, nos termos da Lei Complementar nº 123, de 2006, não sofrerá a retenção tributária quant</w:t>
      </w:r>
      <w:r>
        <w:rPr>
          <w:rFonts w:ascii="Arial" w:hAnsi="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ascii="Arial" w:hAnsi="Arial" w:cs="Arial"/>
        </w:rPr>
      </w:r>
    </w:p>
    <w:tbl>
      <w:tblPr>
        <w:tblInd w:w="-176" w:type="dxa"/>
        <w:tblW w:w="10379" w:type="dxa"/>
        <w:tblBorders/>
        <w:tblLayout w:type="fixed"/>
        <w:tblLook w:val="0000" w:firstRow="0" w:lastRow="0" w:firstColumn="0" w:lastColumn="0" w:noHBand="0" w:noVBand="0"/>
      </w:tblPr>
      <w:tblGrid>
        <w:gridCol w:w="10379"/>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379" w:type="dxa"/>
            <w:textDirection w:val="lrTb"/>
            <w:noWrap w:val="false"/>
          </w:tcPr>
          <w:p w14:paraId="041D5E75" w14:textId="77777777">
            <w:pPr>
              <w:widowControl w:val="false"/>
              <w:pBdr/>
              <w:spacing/>
              <w:ind/>
              <w:jc w:val="both"/>
              <w:rPr>
                <w:rFonts w:ascii="Arial" w:hAnsi="Arial" w:cs="Arial"/>
              </w:rPr>
            </w:pPr>
            <w:r>
              <w:rPr>
                <w:rFonts w:ascii="Arial" w:hAnsi="Arial" w:cs="Arial"/>
                <w:b/>
                <w:bCs/>
              </w:rPr>
              <w:t xml:space="preserve">9. FORMAS, CONDIÇÕES E PRAZOS DE PAGAMENTO, BEM COMO O CRITÉRIO DE REAJUSTE, QUANDO FOR O CASO – Art.23, XV do Decreto Municipal 11.685/2023</w:t>
            </w:r>
            <w:r>
              <w:rPr>
                <w:rFonts w:ascii="Arial" w:hAnsi="Arial" w:cs="Arial"/>
              </w:rPr>
            </w:r>
          </w:p>
        </w:tc>
      </w:tr>
    </w:tbl>
    <w:p w14:paraId="7FAF1178" w14:textId="77777777">
      <w:pPr>
        <w:pBdr/>
        <w:spacing w:line="360" w:lineRule="auto"/>
        <w:ind/>
        <w:jc w:val="both"/>
        <w:rPr>
          <w:rFonts w:ascii="Arial" w:hAnsi="Arial" w:cs="Arial"/>
        </w:rPr>
      </w:pPr>
      <w:r>
        <w:rPr>
          <w:rFonts w:ascii="Arial" w:hAnsi="Arial" w:cs="Arial"/>
        </w:rPr>
        <w:t xml:space="preserve">9.1. O pagamento será realizado de acordo com a execução do objeto do contrato, mediante emissão da respectiva Nota Fiscal devidamente atestada, e análise dos documentos que compõem o processo de pagamento.</w:t>
      </w:r>
      <w:r>
        <w:rPr>
          <w:rFonts w:ascii="Arial" w:hAnsi="Arial" w:cs="Arial"/>
        </w:rPr>
      </w:r>
    </w:p>
    <w:p w14:paraId="7A3E2BCA" w14:textId="77777777">
      <w:pPr>
        <w:pBdr/>
        <w:spacing w:line="360" w:lineRule="auto"/>
        <w:ind/>
        <w:jc w:val="both"/>
        <w:rPr>
          <w:rFonts w:ascii="Arial" w:hAnsi="Arial" w:cs="Arial"/>
        </w:rPr>
      </w:pPr>
      <w:r>
        <w:rPr>
          <w:rFonts w:ascii="Arial" w:hAnsi="Arial" w:cs="Arial"/>
        </w:rPr>
        <w:t xml:space="preserve">9.2. </w:t>
      </w:r>
      <w:r>
        <w:rPr>
          <w:rFonts w:ascii="Arial" w:hAnsi="Arial" w:cs="Arial"/>
        </w:rPr>
        <w:t xml:space="preserve">As operações de vendas destinadas a Órgão Público da Administração Federal, Estadual e Municipal, deverão ser acobertadas por Nota Fiscal Eletrônica, conforme Protocolo ICMS 42/2009, regulamentado pelo Artigo 355, §6º do RICMS. Informações através do site </w:t>
      </w:r>
      <w:hyperlink r:id="rId47" w:tooltip="http://www.sefaz.mt.gov.br/nfe" w:history="1">
        <w:r>
          <w:rPr>
            <w:rFonts w:ascii="Arial" w:hAnsi="Arial" w:cs="Arial"/>
          </w:rPr>
          <w:t xml:space="preserve">www.sefaz.mt.gov.br/nfe</w:t>
        </w:r>
      </w:hyperlink>
      <w:r>
        <w:rPr>
          <w:rFonts w:ascii="Arial" w:hAnsi="Arial" w:cs="Arial"/>
        </w:rPr>
        <w:t xml:space="preserve">.</w:t>
      </w:r>
      <w:r>
        <w:rPr>
          <w:rFonts w:ascii="Arial" w:hAnsi="Arial" w:cs="Arial"/>
        </w:rPr>
      </w:r>
    </w:p>
    <w:p w14:paraId="3E22E6AF" w14:textId="77777777">
      <w:pPr>
        <w:pBdr/>
        <w:spacing w:line="360" w:lineRule="auto"/>
        <w:ind/>
        <w:jc w:val="both"/>
        <w:rPr>
          <w:rFonts w:ascii="Arial" w:hAnsi="Arial" w:cs="Arial"/>
        </w:rPr>
      </w:pPr>
      <w:r>
        <w:rPr>
          <w:rFonts w:ascii="Arial" w:hAnsi="Arial" w:cs="Arial"/>
        </w:rPr>
        <w:t xml:space="preserve">9.3. O contratado deverá indicar no corpo da Nota Fiscal, o número do Contrato/Ordem de Fornecimento, a descrição do objeto, o número e nome do banco, agência e número da conta na qual deverá ser feito o pagamento, via ordem bancária.</w:t>
      </w:r>
      <w:r>
        <w:rPr>
          <w:rFonts w:ascii="Arial" w:hAnsi="Arial" w:cs="Arial"/>
        </w:rPr>
      </w:r>
    </w:p>
    <w:p w14:paraId="5BF89C9E" w14:textId="77777777">
      <w:pPr>
        <w:pBdr/>
        <w:spacing w:line="360" w:lineRule="auto"/>
        <w:ind/>
        <w:jc w:val="both"/>
        <w:rPr>
          <w:rFonts w:ascii="Arial" w:hAnsi="Arial" w:cs="Arial"/>
        </w:rPr>
      </w:pPr>
      <w:r>
        <w:rPr>
          <w:rFonts w:ascii="Arial" w:hAnsi="Arial" w:cs="Arial"/>
        </w:rPr>
        <w:t xml:space="preserve">9.4. Os preços inicialmente contratados são fixos e irreajustáveis pelo prazo de um ano contado da data do orçamento estimado.</w:t>
      </w:r>
      <w:r>
        <w:rPr>
          <w:rFonts w:ascii="Arial" w:hAnsi="Arial" w:cs="Arial"/>
        </w:rPr>
      </w:r>
    </w:p>
    <w:p w14:paraId="6B9D3974" w14:textId="77777777">
      <w:pPr>
        <w:pBdr/>
        <w:spacing w:line="360" w:lineRule="auto"/>
        <w:ind/>
        <w:jc w:val="both"/>
        <w:rPr>
          <w:rFonts w:ascii="Arial" w:hAnsi="Arial" w:cs="Arial"/>
        </w:rPr>
      </w:pPr>
      <w:r>
        <w:rPr>
          <w:rFonts w:ascii="Arial" w:hAnsi="Arial" w:cs="Arial"/>
        </w:rPr>
        <w:t xml:space="preserve">9.5. Após o interregno de um ano, os preços iniciais serão reajustados por meio da aplicação do Índice correspondente.</w:t>
      </w:r>
      <w:r>
        <w:rPr>
          <w:rFonts w:ascii="Arial" w:hAnsi="Arial" w:cs="Arial"/>
        </w:rPr>
      </w:r>
    </w:p>
    <w:p w14:paraId="09B2121A" w14:textId="77777777">
      <w:pPr>
        <w:pBdr/>
        <w:spacing w:line="360" w:lineRule="auto"/>
        <w:ind/>
        <w:jc w:val="both"/>
        <w:rPr>
          <w:rFonts w:ascii="Arial" w:hAnsi="Arial" w:cs="Arial"/>
        </w:rPr>
      </w:pPr>
      <w:r>
        <w:rPr>
          <w:rFonts w:ascii="Arial" w:hAnsi="Arial" w:cs="Arial"/>
        </w:rPr>
        <w:t xml:space="preserve">9.6. Os reajustes deverão ser precedidos de solicitação do contratado, acompanhada de memorial do cálculo, conforme for a variação de custos, objeto do reajuste.</w:t>
      </w:r>
      <w:r>
        <w:rPr>
          <w:rFonts w:ascii="Arial" w:hAnsi="Arial" w:cs="Arial"/>
        </w:rPr>
      </w:r>
    </w:p>
    <w:p w14:paraId="0F6D25C6" w14:textId="77777777">
      <w:pPr>
        <w:pBdr/>
        <w:spacing w:line="360" w:lineRule="auto"/>
        <w:ind/>
        <w:jc w:val="both"/>
        <w:rPr>
          <w:rFonts w:ascii="Arial" w:hAnsi="Arial" w:cs="Arial"/>
        </w:rPr>
      </w:pPr>
      <w:r>
        <w:rPr>
          <w:rFonts w:ascii="Arial" w:hAnsi="Arial" w:cs="Arial"/>
        </w:rPr>
        <w:t xml:space="preserve">9.7. Nos reajustes subsequentes ao primeiro, o interregno mínimo de um ano será contado a partir dos efeitos financeiros do último reajuste.</w:t>
      </w:r>
      <w:r>
        <w:rPr>
          <w:rFonts w:ascii="Arial" w:hAnsi="Arial" w:cs="Arial"/>
        </w:rPr>
      </w:r>
    </w:p>
    <w:p w14:paraId="694EC47D" w14:textId="77777777">
      <w:pPr>
        <w:pBdr/>
        <w:spacing w:line="360" w:lineRule="auto"/>
        <w:ind/>
        <w:jc w:val="both"/>
        <w:rPr>
          <w:rFonts w:ascii="Arial" w:hAnsi="Arial" w:cs="Arial"/>
        </w:rPr>
      </w:pPr>
      <w:r>
        <w:rPr>
          <w:rFonts w:ascii="Arial" w:hAnsi="Arial" w:cs="Arial"/>
        </w:rPr>
        <w:t xml:space="preserve">9.8. No caso d</w:t>
      </w:r>
      <w:r>
        <w:rPr>
          <w:rFonts w:ascii="Arial" w:hAnsi="Arial" w:cs="Arial"/>
        </w:rPr>
        <w:t xml:space="preserve">e atraso ou não divulgação do (s) índice (s) de reajustamento, o contratante pagará ao contratado a importância calculada pela última variação conhecida, liquidando a diferença correspondente tão logo seja (m) divulgado (s) o (s) índice (s) definitivo (s).</w:t>
      </w:r>
      <w:r>
        <w:rPr>
          <w:rFonts w:ascii="Arial" w:hAnsi="Arial" w:cs="Arial"/>
        </w:rPr>
      </w:r>
    </w:p>
    <w:p w14:paraId="0DD4EC05" w14:textId="77777777">
      <w:pPr>
        <w:pBdr/>
        <w:spacing w:line="360" w:lineRule="auto"/>
        <w:ind/>
        <w:jc w:val="both"/>
        <w:rPr>
          <w:rFonts w:ascii="Arial" w:hAnsi="Arial" w:cs="Arial"/>
        </w:rPr>
      </w:pPr>
      <w:r>
        <w:rPr>
          <w:rFonts w:ascii="Arial" w:hAnsi="Arial" w:cs="Arial"/>
        </w:rPr>
        <w:t xml:space="preserve">9.9. A prorrogação contratual sem a solicitação do reajuste implica a preclusão deste, sem prejuízo dos futuros reajustes nos termos pactuados.</w:t>
      </w:r>
      <w:r>
        <w:rPr>
          <w:rFonts w:ascii="Arial" w:hAnsi="Arial" w:cs="Arial"/>
        </w:rPr>
      </w:r>
    </w:p>
    <w:p w14:paraId="3C6F31EA" w14:textId="77777777">
      <w:pPr>
        <w:pBdr/>
        <w:spacing/>
        <w:ind/>
        <w:jc w:val="both"/>
        <w:rPr>
          <w:rFonts w:ascii="Arial" w:hAnsi="Arial" w:cs="Arial"/>
        </w:rPr>
      </w:pPr>
      <w:r>
        <w:rPr>
          <w:rFonts w:ascii="Arial" w:hAnsi="Arial" w:cs="Arial"/>
        </w:rPr>
        <w:t xml:space="preserve">9.10. O reajuste será realizado por apostilamento.</w:t>
      </w:r>
      <w:r>
        <w:rPr>
          <w:rFonts w:ascii="Arial" w:hAnsi="Arial" w:cs="Arial"/>
        </w:rPr>
      </w:r>
    </w:p>
    <w:p w14:paraId="10DABD65" w14:textId="77777777">
      <w:pPr>
        <w:pBdr/>
        <w:spacing/>
        <w:ind/>
        <w:jc w:val="both"/>
        <w:rPr>
          <w:rFonts w:ascii="Arial" w:hAnsi="Arial" w:cs="Arial"/>
        </w:rPr>
      </w:pPr>
      <w:r>
        <w:rPr>
          <w:rFonts w:ascii="Arial" w:hAnsi="Arial" w:cs="Arial"/>
        </w:rPr>
      </w:r>
      <w:r>
        <w:rPr>
          <w:rFonts w:ascii="Arial" w:hAnsi="Arial" w:cs="Arial"/>
        </w:rPr>
      </w:r>
    </w:p>
    <w:tbl>
      <w:tblPr>
        <w:tblInd w:w="-162" w:type="dxa"/>
        <w:tblW w:w="10303" w:type="dxa"/>
        <w:tblBorders/>
        <w:tblLayout w:type="fixed"/>
        <w:tblLook w:val="0000" w:firstRow="0" w:lastRow="0" w:firstColumn="0" w:lastColumn="0" w:noHBand="0" w:noVBand="0"/>
      </w:tblPr>
      <w:tblGrid>
        <w:gridCol w:w="10303"/>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303" w:type="dxa"/>
            <w:textDirection w:val="lrTb"/>
            <w:noWrap w:val="false"/>
          </w:tcPr>
          <w:p w14:paraId="32A087EF" w14:textId="77777777">
            <w:pPr>
              <w:widowControl w:val="false"/>
              <w:pBdr/>
              <w:spacing/>
              <w:ind w:left="-89"/>
              <w:jc w:val="center"/>
              <w:rPr>
                <w:rFonts w:ascii="Arial" w:hAnsi="Arial" w:cs="Arial"/>
              </w:rPr>
            </w:pPr>
            <w:r>
              <w:rPr>
                <w:rFonts w:ascii="Arial" w:hAnsi="Arial" w:cs="Arial"/>
                <w:b/>
                <w:bCs/>
              </w:rPr>
              <w:t xml:space="preserve">10. FORMA E CRITÉRIOS DE SELEÇÃO DO FORNECEDOR – Art. 6º, XXIII, “h”</w:t>
            </w:r>
            <w:r>
              <w:rPr>
                <w:rFonts w:ascii="Arial" w:hAnsi="Arial" w:cs="Arial"/>
              </w:rPr>
            </w:r>
          </w:p>
        </w:tc>
      </w:tr>
    </w:tbl>
    <w:p w14:paraId="31FE89D8" w14:textId="77777777">
      <w:pPr>
        <w:pBdr/>
        <w:spacing w:line="360" w:lineRule="auto"/>
        <w:ind/>
        <w:jc w:val="both"/>
        <w:rPr>
          <w:rFonts w:ascii="Arial" w:hAnsi="Arial" w:cs="Arial"/>
        </w:rPr>
      </w:pPr>
      <w:r>
        <w:rPr>
          <w:rFonts w:ascii="Arial" w:hAnsi="Arial" w:cs="Arial"/>
        </w:rPr>
        <w:t xml:space="preserve">Forma de seleção e critério de julgamento da proposta </w:t>
      </w:r>
      <w:r>
        <w:rPr>
          <w:rFonts w:ascii="Arial" w:hAnsi="Arial" w:cs="Arial"/>
        </w:rPr>
      </w:r>
    </w:p>
    <w:p w14:paraId="0CFAF72B" w14:textId="3908B611">
      <w:pPr>
        <w:pBdr/>
        <w:spacing w:line="360" w:lineRule="auto"/>
        <w:ind/>
        <w:jc w:val="both"/>
        <w:rPr>
          <w:rFonts w:ascii="Arial" w:hAnsi="Arial" w:cs="Arial"/>
        </w:rPr>
      </w:pPr>
      <w:r>
        <w:rPr>
          <w:rFonts w:ascii="Arial" w:hAnsi="Arial" w:cs="Arial"/>
        </w:rPr>
        <w:t xml:space="preserve">10.1. O fornecedor será selecionado por meio da realização de procedimento de LICITAÇÃO, na modalidade PREGÃO, sob a forma ELETRÔNICA, com adoção do critério de julgamento pelo </w:t>
      </w:r>
      <w:r>
        <w:rPr>
          <w:rFonts w:ascii="Arial" w:hAnsi="Arial" w:cs="Arial"/>
          <w:b/>
        </w:rPr>
        <w:t xml:space="preserve">Menor Preço / Menor Taxa aplicado sobre a média dos preços levantados pela equipe da secretaria de promoção e assistência social.</w:t>
      </w:r>
      <w:r>
        <w:rPr>
          <w:rFonts w:ascii="Arial" w:hAnsi="Arial" w:cs="Arial"/>
        </w:rPr>
      </w:r>
    </w:p>
    <w:p w14:paraId="12E8DBFB" w14:textId="77777777">
      <w:pPr>
        <w:pBdr/>
        <w:spacing w:line="360" w:lineRule="auto"/>
        <w:ind/>
        <w:jc w:val="both"/>
        <w:rPr>
          <w:rFonts w:ascii="Arial" w:hAnsi="Arial" w:cs="Arial"/>
        </w:rPr>
      </w:pPr>
      <w:r>
        <w:rPr>
          <w:rFonts w:ascii="Arial" w:hAnsi="Arial" w:cs="Arial"/>
        </w:rPr>
        <w:t xml:space="preserve">Regime de execução </w:t>
      </w:r>
      <w:r>
        <w:rPr>
          <w:rFonts w:ascii="Arial" w:hAnsi="Arial" w:cs="Arial"/>
        </w:rPr>
      </w:r>
    </w:p>
    <w:p w14:paraId="0A4BD7DF" w14:textId="77777777">
      <w:pPr>
        <w:pBdr/>
        <w:spacing w:line="360" w:lineRule="auto"/>
        <w:ind/>
        <w:jc w:val="both"/>
        <w:rPr>
          <w:rFonts w:ascii="Arial" w:hAnsi="Arial" w:cs="Arial"/>
        </w:rPr>
      </w:pPr>
      <w:r>
        <w:rPr>
          <w:rFonts w:ascii="Arial" w:hAnsi="Arial" w:cs="Arial"/>
        </w:rPr>
        <w:t xml:space="preserve">10.2. O regime de execução do objeto será de</w:t>
      </w:r>
      <w:r>
        <w:rPr>
          <w:rFonts w:ascii="Arial" w:hAnsi="Arial" w:cs="Arial"/>
          <w:lang w:eastAsia="zh-CN"/>
        </w:rPr>
        <w:t xml:space="preserve"> Consumo.</w:t>
      </w:r>
      <w:r>
        <w:rPr>
          <w:rFonts w:ascii="Arial" w:hAnsi="Arial" w:cs="Arial"/>
        </w:rPr>
      </w:r>
    </w:p>
    <w:p w14:paraId="1AA53585" w14:textId="77777777">
      <w:pPr>
        <w:pBdr/>
        <w:spacing w:line="360" w:lineRule="auto"/>
        <w:ind/>
        <w:jc w:val="both"/>
        <w:rPr>
          <w:rFonts w:ascii="Arial" w:hAnsi="Arial" w:cs="Arial"/>
        </w:rPr>
      </w:pPr>
      <w:r>
        <w:rPr>
          <w:rFonts w:ascii="Arial" w:hAnsi="Arial" w:cs="Arial"/>
        </w:rPr>
        <w:t xml:space="preserve">Exigências de habilitação </w:t>
      </w:r>
      <w:r>
        <w:rPr>
          <w:rFonts w:ascii="Arial" w:hAnsi="Arial" w:cs="Arial"/>
        </w:rPr>
      </w:r>
    </w:p>
    <w:p w14:paraId="4F02E8F0" w14:textId="77777777">
      <w:pPr>
        <w:pBdr/>
        <w:spacing w:line="360" w:lineRule="auto"/>
        <w:ind/>
        <w:jc w:val="both"/>
        <w:rPr>
          <w:rFonts w:ascii="Arial" w:hAnsi="Arial" w:cs="Arial"/>
        </w:rPr>
      </w:pPr>
      <w:r>
        <w:rPr>
          <w:rFonts w:ascii="Arial" w:hAnsi="Arial" w:cs="Arial"/>
        </w:rPr>
        <w:t xml:space="preserve">10.3. Para fins de habilitação, deverá o licitante comprovar os seguintes requisitos:</w:t>
      </w:r>
      <w:r>
        <w:rPr>
          <w:rFonts w:ascii="Arial" w:hAnsi="Arial" w:cs="Arial"/>
        </w:rPr>
      </w:r>
    </w:p>
    <w:p w14:paraId="3DAF0CD0" w14:textId="77777777">
      <w:pPr>
        <w:pBdr/>
        <w:spacing w:line="360" w:lineRule="auto"/>
        <w:ind/>
        <w:jc w:val="both"/>
        <w:rPr>
          <w:rFonts w:ascii="Arial" w:hAnsi="Arial" w:cs="Arial"/>
        </w:rPr>
      </w:pPr>
      <w:r>
        <w:rPr>
          <w:rFonts w:ascii="Arial" w:hAnsi="Arial" w:cs="Arial"/>
        </w:rPr>
        <w:t xml:space="preserve">Habilitação jurídica </w:t>
      </w:r>
      <w:r>
        <w:rPr>
          <w:rFonts w:ascii="Arial" w:hAnsi="Arial" w:cs="Arial"/>
        </w:rPr>
      </w:r>
    </w:p>
    <w:p w14:paraId="7F8B684B" w14:textId="77777777">
      <w:pPr>
        <w:pBdr/>
        <w:spacing w:line="360" w:lineRule="auto"/>
        <w:ind/>
        <w:jc w:val="both"/>
        <w:rPr>
          <w:rFonts w:ascii="Arial" w:hAnsi="Arial" w:cs="Arial"/>
        </w:rPr>
      </w:pPr>
      <w:r>
        <w:rPr>
          <w:rFonts w:ascii="Arial" w:hAnsi="Arial" w:cs="Arial"/>
        </w:rPr>
        <w:t xml:space="preserve">10.4. Pessoa física: cédula de identidade (RG) ou documento equivalente que, por força de lei, tenha validade para fins de identificação em todo o território nacional;</w:t>
      </w:r>
      <w:r>
        <w:rPr>
          <w:rFonts w:ascii="Arial" w:hAnsi="Arial" w:cs="Arial"/>
        </w:rPr>
      </w:r>
    </w:p>
    <w:p w14:paraId="222CF232" w14:textId="77777777">
      <w:pPr>
        <w:pBdr/>
        <w:spacing w:line="360" w:lineRule="auto"/>
        <w:ind/>
        <w:jc w:val="both"/>
        <w:rPr>
          <w:rFonts w:ascii="Arial" w:hAnsi="Arial" w:cs="Arial"/>
        </w:rPr>
      </w:pPr>
      <w:r>
        <w:rPr>
          <w:rFonts w:ascii="Arial" w:hAnsi="Arial" w:cs="Arial"/>
        </w:rPr>
        <w:t xml:space="preserve">10.5. Empresário individual: inscrição no Registro Público de Empresas Mercantis, a cargo da Junta Comercial da respectiva sede;</w:t>
      </w:r>
      <w:r>
        <w:rPr>
          <w:rFonts w:ascii="Arial" w:hAnsi="Arial" w:cs="Arial"/>
        </w:rPr>
      </w:r>
    </w:p>
    <w:p w14:paraId="31541FD6" w14:textId="77777777">
      <w:pPr>
        <w:pBdr/>
        <w:spacing w:line="360" w:lineRule="auto"/>
        <w:ind/>
        <w:jc w:val="both"/>
        <w:rPr>
          <w:rFonts w:ascii="Arial" w:hAnsi="Arial" w:cs="Arial"/>
        </w:rPr>
      </w:pPr>
      <w:r>
        <w:rPr>
          <w:rFonts w:ascii="Arial" w:hAnsi="Arial" w:cs="Arial"/>
        </w:rPr>
        <w:t xml:space="preserve">11.6. Microempreendedor Individual - MEI: Certificado da Condição de Microempreendedor Individual - CCMEI, cuja aceitação ficará condicionada à verificação da autenticidade no sítio </w:t>
      </w:r>
      <w:hyperlink r:id="rId48" w:tooltip="https://www.gov.br/empresas-e-negocios/pt-br/empreendedor" w:history="1">
        <w:r>
          <w:rPr>
            <w:rFonts w:ascii="Arial" w:hAnsi="Arial" w:cs="Arial"/>
          </w:rPr>
          <w:t xml:space="preserve">https://www.gov.br/empresas-e-negocios/pt-br/empreendedor</w:t>
        </w:r>
      </w:hyperlink>
      <w:r>
        <w:rPr>
          <w:rFonts w:ascii="Arial" w:hAnsi="Arial" w:cs="Arial"/>
        </w:rPr>
        <w:t xml:space="preserve">;</w:t>
      </w:r>
      <w:r>
        <w:rPr>
          <w:rFonts w:ascii="Arial" w:hAnsi="Arial" w:cs="Arial"/>
        </w:rPr>
      </w:r>
    </w:p>
    <w:p w14:paraId="03562D03" w14:textId="77777777">
      <w:pPr>
        <w:pBdr/>
        <w:spacing w:line="360" w:lineRule="auto"/>
        <w:ind/>
        <w:jc w:val="both"/>
        <w:rPr>
          <w:rFonts w:ascii="Arial" w:hAnsi="Arial" w:cs="Arial"/>
        </w:rPr>
      </w:pPr>
      <w:r>
        <w:rPr>
          <w:rFonts w:ascii="Arial" w:hAnsi="Arial" w:cs="Arial"/>
        </w:rPr>
        <w:t xml:space="preserve">11.7. Sociedade empresária, sociedade limitada unipessoal – SLU ou sociedade identificada como empresa indivi</w:t>
      </w:r>
      <w:r>
        <w:rPr>
          <w:rFonts w:ascii="Arial" w:hAnsi="Arial" w:cs="Arial"/>
        </w:rPr>
        <w:t xml:space="preserve">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Arial" w:hAnsi="Arial" w:cs="Arial"/>
        </w:rPr>
      </w:r>
    </w:p>
    <w:p w14:paraId="1C097E85" w14:textId="77777777">
      <w:pPr>
        <w:pBdr/>
        <w:spacing w:line="360" w:lineRule="auto"/>
        <w:ind/>
        <w:jc w:val="both"/>
        <w:rPr>
          <w:rFonts w:ascii="Arial" w:hAnsi="Arial" w:cs="Arial"/>
        </w:rPr>
      </w:pPr>
      <w:r>
        <w:rPr>
          <w:rFonts w:ascii="Arial" w:hAnsi="Arial" w:cs="Arial"/>
        </w:rPr>
        <w:t xml:space="preserve">11.8. Sociedade empresária estrangeira: portaria de autorização de funcionamento no Brasil, publica</w:t>
      </w:r>
      <w:r>
        <w:rPr>
          <w:rFonts w:ascii="Arial" w:hAnsi="Arial" w:cs="Arial"/>
        </w:rPr>
        <w:t xml:space="preserve">da no Diário Oficial da União e arquivada na Junta Comercial da unidade federativa onde se localizar a filial, agência, sucursal ou estabelecimento, a qual será considerada como sua sede, conforme Instrução Normativa DREI/ME n.º 77, de 18 de março de 2020.</w:t>
      </w:r>
      <w:r>
        <w:rPr>
          <w:rFonts w:ascii="Arial" w:hAnsi="Arial" w:cs="Arial"/>
        </w:rPr>
      </w:r>
    </w:p>
    <w:p w14:paraId="33477129" w14:textId="77777777">
      <w:pPr>
        <w:pBdr/>
        <w:spacing w:line="360" w:lineRule="auto"/>
        <w:ind/>
        <w:jc w:val="both"/>
        <w:rPr>
          <w:rFonts w:ascii="Arial" w:hAnsi="Arial" w:cs="Arial"/>
        </w:rPr>
      </w:pPr>
      <w:r>
        <w:rPr>
          <w:rFonts w:ascii="Arial" w:hAnsi="Arial" w:cs="Arial"/>
        </w:rPr>
        <w:t xml:space="preserve">11.9. Sociedade simples: inscrição do ato constitutivo no Registro Civil de Pessoas Jurídicas do local de sua sede, acompanhada de documento comprobatório de seus administradores;</w:t>
      </w:r>
      <w:r>
        <w:rPr>
          <w:rFonts w:ascii="Arial" w:hAnsi="Arial" w:cs="Arial"/>
        </w:rPr>
      </w:r>
    </w:p>
    <w:p w14:paraId="56CCF840" w14:textId="77777777">
      <w:pPr>
        <w:pBdr/>
        <w:spacing w:line="360" w:lineRule="auto"/>
        <w:ind/>
        <w:jc w:val="both"/>
        <w:rPr>
          <w:rFonts w:ascii="Arial" w:hAnsi="Arial" w:cs="Arial"/>
        </w:rPr>
      </w:pPr>
      <w:r>
        <w:rPr>
          <w:rFonts w:ascii="Arial" w:hAnsi="Arial" w:cs="Arial"/>
        </w:rPr>
        <w:t xml:space="preserve">11.10. Filial, sucursal ou agência de sociedade simples ou empresária: ins</w:t>
      </w:r>
      <w:r>
        <w:rPr>
          <w:rFonts w:ascii="Arial" w:hAnsi="Arial" w:cs="Arial"/>
        </w:rPr>
        <w:t xml:space="preserve">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rPr>
      </w:r>
    </w:p>
    <w:p w14:paraId="105C9E99" w14:textId="77777777">
      <w:pPr>
        <w:pBdr/>
        <w:spacing w:line="360" w:lineRule="auto"/>
        <w:ind/>
        <w:jc w:val="both"/>
        <w:rPr>
          <w:rFonts w:ascii="Arial" w:hAnsi="Arial" w:cs="Arial"/>
        </w:rPr>
      </w:pPr>
      <w:r>
        <w:rPr>
          <w:rFonts w:ascii="Arial" w:hAnsi="Arial" w:cs="Arial"/>
        </w:rPr>
        <w:t xml:space="preserve">11.11. Sociedade cooperativa: ata de funda</w:t>
      </w:r>
      <w:r>
        <w:rPr>
          <w:rFonts w:ascii="Arial" w:hAnsi="Arial" w:cs="Arial"/>
        </w:rPr>
        <w:t xml:space="preserve">ção e estatuto social, com a ata da assembleia que o aprovou, devidamente arquivado na Junta Comercial ou inscrito no Registro Civil das Pessoas Jurídicas da respectiva sede, além do registro de que trata o art. 107 da Lei nº 5.764, de 16 de dezembro 1971.</w:t>
      </w:r>
      <w:r>
        <w:rPr>
          <w:rFonts w:ascii="Arial" w:hAnsi="Arial" w:cs="Arial"/>
        </w:rPr>
      </w:r>
    </w:p>
    <w:p w14:paraId="4C3D03E9" w14:textId="77777777">
      <w:pPr>
        <w:pBdr/>
        <w:spacing w:line="360" w:lineRule="auto"/>
        <w:ind/>
        <w:jc w:val="both"/>
        <w:rPr>
          <w:rFonts w:ascii="Arial" w:hAnsi="Arial" w:cs="Arial"/>
        </w:rPr>
      </w:pPr>
      <w:r>
        <w:rPr>
          <w:rFonts w:ascii="Arial" w:hAnsi="Arial" w:cs="Arial"/>
        </w:rPr>
        <w:t xml:space="preserve">11.12. Consórcio de empresas: contrato de consórcio devidamente arquivado no Registro Civil das Pessoas Jurídicas ou no Registro Público de Empresas Mercantis (art. 279 da Lei nº 6.404,</w:t>
      </w:r>
      <w:r>
        <w:rPr>
          <w:rFonts w:ascii="Arial" w:hAnsi="Arial" w:cs="Arial"/>
        </w:rPr>
        <w:t xml:space="preserve"> de 15 de dezembro de 1976) ou compromisso público ou particular de constituição, subscrito pelos consorciados, com a indicação da empresa líder, responsável por sua representação perante a Administração (art. 15, caput, I e II, da Lei nº 14.133, de 2021).</w:t>
      </w:r>
      <w:r>
        <w:rPr>
          <w:rFonts w:ascii="Arial" w:hAnsi="Arial" w:cs="Arial"/>
        </w:rPr>
      </w:r>
    </w:p>
    <w:p w14:paraId="5BCBE18D" w14:textId="77777777">
      <w:pPr>
        <w:pBdr/>
        <w:spacing w:line="360" w:lineRule="auto"/>
        <w:ind/>
        <w:jc w:val="both"/>
        <w:rPr>
          <w:rFonts w:ascii="Arial" w:hAnsi="Arial" w:cs="Arial"/>
        </w:rPr>
      </w:pPr>
      <w:r>
        <w:rPr>
          <w:rFonts w:ascii="Arial" w:hAnsi="Arial" w:cs="Arial"/>
        </w:rPr>
        <w:t xml:space="preserve">11.13. Os documentos apresentados deverão estar acompanhados de todas as alterações ou da consolidação respectiva.</w:t>
      </w:r>
      <w:r>
        <w:rPr>
          <w:rFonts w:ascii="Arial" w:hAnsi="Arial" w:cs="Arial"/>
        </w:rPr>
      </w:r>
    </w:p>
    <w:p w14:paraId="3798CB3F" w14:textId="77777777">
      <w:pPr>
        <w:pBdr/>
        <w:spacing w:line="360" w:lineRule="auto"/>
        <w:ind/>
        <w:jc w:val="both"/>
        <w:rPr>
          <w:rFonts w:ascii="Arial" w:hAnsi="Arial" w:cs="Arial"/>
        </w:rPr>
      </w:pPr>
      <w:r>
        <w:rPr>
          <w:rFonts w:ascii="Arial" w:hAnsi="Arial" w:cs="Arial"/>
        </w:rPr>
        <w:t xml:space="preserve">Habilitação fiscal, social e trabalhista </w:t>
      </w:r>
      <w:r>
        <w:rPr>
          <w:rFonts w:ascii="Arial" w:hAnsi="Arial" w:cs="Arial"/>
        </w:rPr>
      </w:r>
    </w:p>
    <w:p w14:paraId="7BB9EE60" w14:textId="77777777">
      <w:pPr>
        <w:pBdr/>
        <w:spacing w:line="360" w:lineRule="auto"/>
        <w:ind/>
        <w:jc w:val="both"/>
        <w:rPr>
          <w:rFonts w:ascii="Arial" w:hAnsi="Arial" w:cs="Arial"/>
        </w:rPr>
      </w:pPr>
      <w:r>
        <w:rPr>
          <w:rFonts w:ascii="Arial" w:hAnsi="Arial" w:cs="Arial"/>
        </w:rPr>
        <w:t xml:space="preserve">11.14. Prova de inscrição no Cadastro Nacional de Pessoas Jurídicas ou no Cadastro de Pessoas Físicas, conforme o caso;</w:t>
      </w:r>
      <w:r>
        <w:rPr>
          <w:rFonts w:ascii="Arial" w:hAnsi="Arial" w:cs="Arial"/>
        </w:rPr>
      </w:r>
    </w:p>
    <w:p w14:paraId="26FAC573" w14:textId="77777777">
      <w:pPr>
        <w:pBdr/>
        <w:spacing w:line="360" w:lineRule="auto"/>
        <w:ind/>
        <w:jc w:val="both"/>
        <w:rPr>
          <w:rFonts w:ascii="Arial" w:hAnsi="Arial" w:cs="Arial"/>
        </w:rPr>
      </w:pPr>
      <w:r>
        <w:rPr>
          <w:rFonts w:ascii="Arial" w:hAnsi="Arial" w:cs="Arial"/>
        </w:rPr>
        <w:t xml:space="preserve">11.15. Prova de regulari</w:t>
      </w:r>
      <w:r>
        <w:rPr>
          <w:rFonts w:ascii="Arial" w:hAnsi="Arial" w:cs="Arial"/>
        </w:rPr>
        <w:t xml:space="preserve">dade fiscal perante a Fazenda Nacional, mediante apresentação de certidão expedida conjuntamente pela Secretaria da Receita Federal do Brasil (RFB) e pela Procuradoria-Geral da Fazenda Nacional (PGFN), referente a todos os créditos tributários federais e à</w:t>
      </w:r>
      <w:r>
        <w:rPr>
          <w:rFonts w:ascii="Arial" w:hAnsi="Arial" w:cs="Arial"/>
        </w:rPr>
        <w:t xml:space="preserve"> Dívida Ativa da União (DAU) por elas administrados, inclusive aqueles relativos à Seguridade Social, nos termos da Portaria Conjunta nº 1.751, de 02 de outubro de 2014, do Secretário da Receita Federal do Brasil e da Procuradora-Geral da Fazenda Nacional.</w:t>
      </w:r>
      <w:r>
        <w:rPr>
          <w:rFonts w:ascii="Arial" w:hAnsi="Arial" w:cs="Arial"/>
        </w:rPr>
      </w:r>
    </w:p>
    <w:p w14:paraId="7D7587E4" w14:textId="77777777">
      <w:pPr>
        <w:pBdr/>
        <w:spacing w:line="360" w:lineRule="auto"/>
        <w:ind/>
        <w:jc w:val="both"/>
        <w:rPr>
          <w:rFonts w:ascii="Arial" w:hAnsi="Arial" w:cs="Arial"/>
        </w:rPr>
      </w:pPr>
      <w:r>
        <w:rPr>
          <w:rFonts w:ascii="Arial" w:hAnsi="Arial" w:cs="Arial"/>
        </w:rPr>
        <w:t xml:space="preserve">11.16. Prova de regularidade com o Fundo de Garantia do Tempo de Serviço (FGTS);</w:t>
      </w:r>
      <w:r>
        <w:rPr>
          <w:rFonts w:ascii="Arial" w:hAnsi="Arial" w:cs="Arial"/>
        </w:rPr>
      </w:r>
    </w:p>
    <w:p w14:paraId="20EB4219" w14:textId="77777777">
      <w:pPr>
        <w:pBdr/>
        <w:spacing w:line="360" w:lineRule="auto"/>
        <w:ind/>
        <w:jc w:val="both"/>
        <w:rPr>
          <w:rFonts w:ascii="Arial" w:hAnsi="Arial" w:cs="Arial"/>
        </w:rPr>
      </w:pPr>
      <w:r>
        <w:rPr>
          <w:rFonts w:ascii="Arial" w:hAnsi="Arial" w:cs="Arial"/>
        </w:rPr>
        <w:t xml:space="preserve">11.17. Prova de inexistência de </w:t>
      </w:r>
      <w:r>
        <w:rPr>
          <w:rFonts w:ascii="Arial" w:hAnsi="Arial" w:cs="Arial"/>
        </w:rPr>
        <w:t xml:space="preserve">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ascii="Arial" w:hAnsi="Arial" w:cs="Arial"/>
        </w:rPr>
      </w:r>
    </w:p>
    <w:p w14:paraId="7C536DC1" w14:textId="77777777">
      <w:pPr>
        <w:pBdr/>
        <w:spacing w:line="360" w:lineRule="auto"/>
        <w:ind/>
        <w:jc w:val="both"/>
        <w:rPr>
          <w:rFonts w:ascii="Arial" w:hAnsi="Arial" w:cs="Arial"/>
        </w:rPr>
      </w:pPr>
      <w:r>
        <w:rPr>
          <w:rFonts w:ascii="Arial" w:hAnsi="Arial" w:cs="Arial"/>
        </w:rPr>
        <w:t xml:space="preserve">11.18. Prova de inscrição no cadastro de contribuintes Municipal relativo ao domicílio ou sede do fornecedor, pertinente ao seu ramo de atividade e compatível com o objeto contratual;</w:t>
      </w:r>
      <w:r>
        <w:rPr>
          <w:rFonts w:ascii="Arial" w:hAnsi="Arial" w:cs="Arial"/>
        </w:rPr>
      </w:r>
    </w:p>
    <w:p w14:paraId="27A6798E" w14:textId="77777777">
      <w:pPr>
        <w:pBdr/>
        <w:spacing w:line="360" w:lineRule="auto"/>
        <w:ind/>
        <w:jc w:val="both"/>
        <w:rPr>
          <w:rFonts w:ascii="Arial" w:hAnsi="Arial" w:cs="Arial"/>
        </w:rPr>
      </w:pPr>
      <w:r>
        <w:rPr>
          <w:rFonts w:ascii="Arial" w:hAnsi="Arial" w:cs="Arial"/>
        </w:rPr>
        <w:t xml:space="preserve">11.19. Prova de regularidade com a Fazenda Municipal do domicílio ou sede do fornecedor, relativa à atividade em cujo exercício contrata ou concorre;</w:t>
      </w:r>
      <w:r>
        <w:rPr>
          <w:rFonts w:ascii="Arial" w:hAnsi="Arial" w:cs="Arial"/>
        </w:rPr>
      </w:r>
    </w:p>
    <w:p w14:paraId="3891FA8D" w14:textId="77777777">
      <w:pPr>
        <w:pBdr/>
        <w:spacing w:line="360" w:lineRule="auto"/>
        <w:ind/>
        <w:jc w:val="both"/>
        <w:rPr>
          <w:rFonts w:ascii="Arial" w:hAnsi="Arial" w:cs="Arial"/>
        </w:rPr>
      </w:pPr>
      <w:r>
        <w:rPr>
          <w:rFonts w:ascii="Arial" w:hAnsi="Arial" w:cs="Arial"/>
        </w:rPr>
        <w:t xml:space="preserve">11.20. Prova de regularidade com a Fazenda Estadual do domicílio ou sede do fornecedor, relativa à atividade em cujo exercício contrata ou concorre;</w:t>
      </w:r>
      <w:r>
        <w:rPr>
          <w:rFonts w:ascii="Arial" w:hAnsi="Arial" w:cs="Arial"/>
        </w:rPr>
      </w:r>
    </w:p>
    <w:p w14:paraId="5345D561" w14:textId="77777777">
      <w:pPr>
        <w:pBdr/>
        <w:spacing w:line="360" w:lineRule="auto"/>
        <w:ind/>
        <w:jc w:val="both"/>
        <w:rPr>
          <w:rFonts w:ascii="Arial" w:hAnsi="Arial" w:cs="Arial"/>
        </w:rPr>
      </w:pPr>
      <w:r>
        <w:rPr>
          <w:rFonts w:ascii="Arial" w:hAnsi="Arial" w:cs="Arial"/>
        </w:rPr>
        <w:t xml:space="preserve">11.21. Caso o for</w:t>
      </w:r>
      <w:r>
        <w:rPr>
          <w:rFonts w:ascii="Arial" w:hAnsi="Arial" w:cs="Arial"/>
        </w:rPr>
        <w:t xml:space="preserve">necedor seja considerado isento dos tributos Estadual ou Municipal relacionados ao objeto contratual, deverá comprovar tal condição mediante a apresentação de declaração da Fazenda respectiva do seu domicílio ou sede, ou outra equivalente, na forma da lei.</w:t>
      </w:r>
      <w:r>
        <w:rPr>
          <w:rFonts w:ascii="Arial" w:hAnsi="Arial" w:cs="Arial"/>
        </w:rPr>
      </w:r>
    </w:p>
    <w:p w14:paraId="3917C221" w14:textId="77777777">
      <w:pPr>
        <w:pBdr/>
        <w:spacing w:line="360" w:lineRule="auto"/>
        <w:ind/>
        <w:jc w:val="both"/>
        <w:rPr>
          <w:rFonts w:ascii="Arial" w:hAnsi="Arial" w:cs="Arial"/>
        </w:rPr>
      </w:pPr>
      <w:r>
        <w:rPr>
          <w:rFonts w:ascii="Arial" w:hAnsi="Arial" w:cs="Arial"/>
        </w:rPr>
        <w:t xml:space="preserve">11.22. O f</w:t>
      </w:r>
      <w:r>
        <w:rPr>
          <w:rFonts w:ascii="Arial" w:hAnsi="Arial" w:cs="Arial"/>
        </w:rPr>
        <w:t xml:space="preserve">ornecedor enquadrado como microempreendedor individual que pretenda auferir os benefícios do tratamento diferenciado previstos na Lei Complementar n. 123, de 2006, estará dispensado da prova de inscrição nos cadastros de contribuintes estadual e municipal.</w:t>
      </w:r>
      <w:r>
        <w:rPr>
          <w:rFonts w:ascii="Arial" w:hAnsi="Arial" w:cs="Arial"/>
        </w:rPr>
      </w:r>
    </w:p>
    <w:p w14:paraId="5F7F484C" w14:textId="77777777">
      <w:pPr>
        <w:pBdr/>
        <w:spacing w:line="360" w:lineRule="auto"/>
        <w:ind/>
        <w:jc w:val="both"/>
        <w:rPr>
          <w:rFonts w:ascii="Arial" w:hAnsi="Arial" w:cs="Arial"/>
        </w:rPr>
      </w:pPr>
      <w:r>
        <w:rPr>
          <w:rFonts w:ascii="Arial" w:hAnsi="Arial" w:cs="Arial"/>
        </w:rPr>
        <w:t xml:space="preserve">11.23. Qualificação Econômico-Financeira. </w:t>
      </w:r>
      <w:r>
        <w:rPr>
          <w:rFonts w:ascii="Arial" w:hAnsi="Arial" w:cs="Arial"/>
        </w:rPr>
      </w:r>
    </w:p>
    <w:p w14:paraId="3105836C" w14:textId="77777777">
      <w:pPr>
        <w:pBdr/>
        <w:spacing w:line="360" w:lineRule="auto"/>
        <w:ind/>
        <w:jc w:val="both"/>
        <w:rPr>
          <w:rFonts w:ascii="Arial" w:hAnsi="Arial" w:cs="Arial"/>
        </w:rPr>
      </w:pPr>
      <w:r>
        <w:rPr>
          <w:rFonts w:ascii="Arial" w:hAnsi="Arial" w:cs="Arial"/>
        </w:rPr>
        <w:t xml:space="preserve">11.23.1. a) Certidão negativa de insolvência ci</w:t>
      </w:r>
      <w:r>
        <w:rPr>
          <w:rFonts w:ascii="Arial" w:hAnsi="Arial" w:cs="Arial"/>
        </w:rPr>
        <w:t xml:space="preserve">vil expedida pelo distribuidor do domicílio ou sede do licitante, caso se trate de pessoa física, desde que admitida a sua participação na licitação (art. 5º, inciso II, alínea “c”, da Instrução Normativa Seges/ME nº 116, de 2021), ou de sociedade simples;</w:t>
      </w:r>
      <w:r>
        <w:rPr>
          <w:rFonts w:ascii="Arial" w:hAnsi="Arial" w:cs="Arial"/>
        </w:rPr>
      </w:r>
    </w:p>
    <w:p w14:paraId="3B8F8AB8" w14:textId="77777777">
      <w:pPr>
        <w:pBdr/>
        <w:spacing w:line="360" w:lineRule="auto"/>
        <w:ind/>
        <w:jc w:val="both"/>
        <w:rPr>
          <w:rFonts w:ascii="Arial" w:hAnsi="Arial" w:cs="Arial"/>
        </w:rPr>
      </w:pPr>
      <w:r>
        <w:rPr>
          <w:rFonts w:ascii="Arial" w:hAnsi="Arial" w:cs="Arial"/>
        </w:rPr>
        <w:t xml:space="preserve">11.23.2. b) Certidão negativa de falência expedida pelo distribuidor da sede do fornecedor - Lei nº 14.133, de 2021, art. 69, caput, inciso II);</w:t>
      </w:r>
      <w:r>
        <w:rPr>
          <w:rFonts w:ascii="Arial" w:hAnsi="Arial" w:cs="Arial"/>
        </w:rPr>
      </w:r>
    </w:p>
    <w:p w14:paraId="0CC98F6F" w14:textId="77777777">
      <w:pPr>
        <w:pBdr/>
        <w:spacing w:line="360" w:lineRule="auto"/>
        <w:ind/>
        <w:jc w:val="both"/>
        <w:rPr>
          <w:rFonts w:ascii="Arial" w:hAnsi="Arial" w:cs="Arial"/>
        </w:rPr>
      </w:pPr>
      <w:r>
        <w:rPr>
          <w:rFonts w:ascii="Arial" w:hAnsi="Arial" w:cs="Arial"/>
        </w:rPr>
        <w:t xml:space="preserve">11.24.Qualificação Técnica </w:t>
      </w:r>
      <w:r>
        <w:rPr>
          <w:rFonts w:ascii="Arial" w:hAnsi="Arial" w:cs="Arial"/>
        </w:rPr>
      </w:r>
    </w:p>
    <w:p w14:paraId="2B905FF4" w14:textId="77777777">
      <w:pPr>
        <w:pBdr/>
        <w:spacing w:line="360" w:lineRule="auto"/>
        <w:ind/>
        <w:jc w:val="both"/>
        <w:rPr>
          <w:rFonts w:ascii="Arial" w:hAnsi="Arial" w:cs="Arial"/>
          <w:lang w:eastAsia="zh-CN"/>
        </w:rPr>
      </w:pPr>
      <w:r>
        <w:rPr>
          <w:rFonts w:ascii="Arial" w:hAnsi="Arial" w:cs="Arial"/>
        </w:rPr>
        <w:t xml:space="preserve">11.24.1. a) Certidões ou atestados, regularmente emitidos pelo conselho profissional competente, quando for o </w:t>
      </w:r>
      <w:r>
        <w:rPr>
          <w:rFonts w:ascii="Arial" w:hAnsi="Arial" w:cs="Arial"/>
          <w:lang w:eastAsia="zh-CN"/>
        </w:rPr>
        <w:t xml:space="preserve">caso, que demonstrem capacidade operacional na execução de serviços similares de complexidade tecnológica e operacional equivalente ou superior, bem como documentos comprobatórios emitidos na forma do § 3º do art. 88 da Lei 14.133/2021.</w:t>
      </w:r>
      <w:r>
        <w:rPr>
          <w:rFonts w:ascii="Arial" w:hAnsi="Arial" w:cs="Arial"/>
          <w:lang w:eastAsia="zh-CN"/>
        </w:rPr>
      </w:r>
    </w:p>
    <w:tbl>
      <w:tblPr>
        <w:tblInd w:w="90" w:type="dxa"/>
        <w:tblW w:w="10100" w:type="dxa"/>
        <w:tblBorders/>
        <w:tblLayout w:type="fixed"/>
        <w:tblLook w:val="0000" w:firstRow="0" w:lastRow="0" w:firstColumn="0" w:lastColumn="0" w:noHBand="0" w:noVBand="0"/>
      </w:tblPr>
      <w:tblGrid>
        <w:gridCol w:w="10100"/>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100" w:type="dxa"/>
            <w:textDirection w:val="lrTb"/>
            <w:noWrap w:val="false"/>
          </w:tcPr>
          <w:p w14:paraId="5CBDEA2E" w14:textId="77777777">
            <w:pPr>
              <w:widowControl w:val="false"/>
              <w:pBdr/>
              <w:spacing/>
              <w:ind w:left="-89"/>
              <w:jc w:val="center"/>
              <w:rPr>
                <w:rFonts w:ascii="Arial" w:hAnsi="Arial" w:cs="Arial"/>
              </w:rPr>
            </w:pPr>
            <w:r>
              <w:rPr>
                <w:rFonts w:ascii="Arial" w:hAnsi="Arial" w:cs="Arial"/>
                <w:b/>
                <w:bCs/>
              </w:rPr>
              <w:t xml:space="preserve">12. CRITÉRIOS DE ACEITABILIDADE DA PROPOSTA – Art. 41, X, da Lei nº 14.133/2021</w:t>
            </w:r>
            <w:r>
              <w:rPr>
                <w:rFonts w:ascii="Arial" w:hAnsi="Arial" w:cs="Arial"/>
              </w:rPr>
            </w:r>
          </w:p>
        </w:tc>
      </w:tr>
    </w:tbl>
    <w:p w14:paraId="7B101A60" w14:textId="77777777">
      <w:pPr>
        <w:pBdr/>
        <w:spacing/>
        <w:ind/>
        <w:jc w:val="both"/>
        <w:rPr>
          <w:rFonts w:ascii="Arial" w:hAnsi="Arial" w:cs="Arial"/>
        </w:rPr>
      </w:pPr>
      <w:r>
        <w:rPr>
          <w:rFonts w:ascii="Arial" w:hAnsi="Arial" w:cs="Arial"/>
        </w:rPr>
      </w:r>
      <w:r>
        <w:rPr>
          <w:rFonts w:ascii="Arial" w:hAnsi="Arial" w:cs="Arial"/>
        </w:rPr>
      </w:r>
    </w:p>
    <w:p w14:paraId="5F959289" w14:textId="5BBCF501">
      <w:pPr>
        <w:pBdr/>
        <w:spacing/>
        <w:ind/>
        <w:jc w:val="both"/>
        <w:rPr/>
      </w:pPr>
      <w:r>
        <w:rPr>
          <w:rFonts w:ascii="Arial" w:hAnsi="Arial" w:cs="Arial"/>
        </w:rPr>
        <w:t xml:space="preserve">12.1. Não haverá a possibilidade de o licitante oferecer proposta em quantitativo inferior ao máximo previsto no edital, obrigando-se nos limites dele (art. 82, IV da Lei 14.133/2021 e art. 301, IX do Decreto 11.685/2023).</w:t>
      </w:r>
      <w:r/>
    </w:p>
    <w:p w14:paraId="0823853D" w14:textId="77777777">
      <w:pPr>
        <w:pBdr/>
        <w:tabs>
          <w:tab w:val="left" w:leader="none" w:pos="2670"/>
        </w:tabs>
        <w:spacing/>
        <w:ind/>
        <w:jc w:val="both"/>
        <w:rPr/>
      </w:pPr>
      <w:r>
        <w:rPr>
          <w:rFonts w:ascii="Arial" w:cs="Arial"/>
        </w:rPr>
        <w:tab/>
      </w:r>
      <w:r/>
    </w:p>
    <w:p w14:paraId="55BB251D" w14:textId="77777777">
      <w:pPr>
        <w:pBdr/>
        <w:spacing/>
        <w:ind/>
        <w:jc w:val="both"/>
        <w:rPr>
          <w:rFonts w:ascii="Arial" w:hAnsi="Arial" w:cs="Arial"/>
        </w:rPr>
      </w:pPr>
      <w:r>
        <w:rPr>
          <w:rFonts w:ascii="Arial" w:hAnsi="Arial" w:cs="Arial"/>
        </w:rPr>
        <w:t xml:space="preserve">12.2. As propostas deverão ser cadastradas com base no percentual de desconto a ser aplicado sobre o preço médio de mercado, apurado pela equipe da </w:t>
      </w:r>
      <w:r>
        <w:rPr>
          <w:rFonts w:ascii="Arial" w:hAnsi="Arial" w:cs="Arial"/>
        </w:rPr>
        <w:t xml:space="preserve">secretaria de promoção e assistência social</w:t>
      </w:r>
      <w:r>
        <w:rPr>
          <w:rFonts w:ascii="Arial" w:hAnsi="Arial" w:cs="Arial"/>
        </w:rPr>
        <w:t xml:space="preserve">, para a cidade de Rondonópolis – MT. </w:t>
      </w:r>
      <w:r>
        <w:rPr>
          <w:rFonts w:ascii="Arial" w:hAnsi="Arial" w:cs="Arial"/>
        </w:rPr>
      </w:r>
    </w:p>
    <w:p w14:paraId="078BACF8" w14:textId="77777777">
      <w:pPr>
        <w:pBdr/>
        <w:spacing/>
        <w:ind/>
        <w:jc w:val="both"/>
        <w:rPr>
          <w:rFonts w:ascii="Arial" w:cs="Arial"/>
        </w:rPr>
      </w:pPr>
      <w:r>
        <w:rPr>
          <w:rFonts w:ascii="Arial" w:cs="Arial"/>
        </w:rPr>
      </w:r>
      <w:r>
        <w:rPr>
          <w:rFonts w:ascii="Arial" w:cs="Arial"/>
        </w:rPr>
      </w:r>
    </w:p>
    <w:p w14:paraId="14775AFF" w14:textId="77777777">
      <w:pPr>
        <w:pStyle w:val="1120"/>
        <w:widowControl w:val="false"/>
        <w:numPr>
          <w:ilvl w:val="0"/>
          <w:numId w:val="15"/>
        </w:numPr>
        <w:pBdr/>
        <w:tabs>
          <w:tab w:val="left" w:leader="none" w:pos="388"/>
        </w:tabs>
        <w:spacing w:line="244" w:lineRule="auto"/>
        <w:ind w:right="147"/>
        <w:jc w:val="both"/>
        <w:rPr>
          <w:rFonts w:ascii="Arial" w:hAnsi="Arial" w:cs="Arial"/>
          <w:sz w:val="20"/>
        </w:rPr>
      </w:pPr>
      <w:r>
        <w:rPr>
          <w:rFonts w:ascii="Arial" w:hAnsi="Arial" w:cs="Arial"/>
          <w:sz w:val="20"/>
        </w:rPr>
        <w:t xml:space="preserve">Será permitida</w:t>
      </w:r>
      <w:r>
        <w:rPr>
          <w:rFonts w:ascii="Arial" w:hAnsi="Arial" w:cs="Arial"/>
          <w:spacing w:val="-1"/>
          <w:sz w:val="20"/>
        </w:rPr>
        <w:t xml:space="preserve"> </w:t>
      </w:r>
      <w:r>
        <w:rPr>
          <w:rFonts w:ascii="Arial" w:hAnsi="Arial" w:cs="Arial"/>
          <w:sz w:val="20"/>
        </w:rPr>
        <w:t xml:space="preserve">a</w:t>
      </w:r>
      <w:r>
        <w:rPr>
          <w:rFonts w:ascii="Arial" w:hAnsi="Arial" w:cs="Arial"/>
          <w:spacing w:val="-1"/>
          <w:sz w:val="20"/>
        </w:rPr>
        <w:t xml:space="preserve"> </w:t>
      </w:r>
      <w:r>
        <w:rPr>
          <w:rFonts w:ascii="Arial" w:hAnsi="Arial" w:cs="Arial"/>
          <w:sz w:val="20"/>
        </w:rPr>
        <w:t xml:space="preserve">cobrança</w:t>
      </w:r>
      <w:r>
        <w:rPr>
          <w:rFonts w:ascii="Arial" w:hAnsi="Arial" w:cs="Arial"/>
          <w:spacing w:val="-1"/>
          <w:sz w:val="20"/>
        </w:rPr>
        <w:t xml:space="preserve"> </w:t>
      </w:r>
      <w:r>
        <w:rPr>
          <w:rFonts w:ascii="Arial" w:hAnsi="Arial" w:cs="Arial"/>
          <w:sz w:val="20"/>
        </w:rPr>
        <w:t xml:space="preserve">de</w:t>
      </w:r>
      <w:r>
        <w:rPr>
          <w:rFonts w:ascii="Arial" w:hAnsi="Arial" w:cs="Arial"/>
          <w:spacing w:val="-1"/>
          <w:sz w:val="20"/>
        </w:rPr>
        <w:t xml:space="preserve"> </w:t>
      </w:r>
      <w:r>
        <w:rPr>
          <w:rFonts w:ascii="Arial" w:hAnsi="Arial" w:cs="Arial"/>
          <w:sz w:val="20"/>
        </w:rPr>
        <w:t xml:space="preserve">taxa</w:t>
      </w:r>
      <w:r>
        <w:rPr>
          <w:rFonts w:ascii="Arial" w:hAnsi="Arial" w:cs="Arial"/>
          <w:spacing w:val="-1"/>
          <w:sz w:val="20"/>
        </w:rPr>
        <w:t xml:space="preserve"> </w:t>
      </w:r>
      <w:r>
        <w:rPr>
          <w:rFonts w:ascii="Arial" w:hAnsi="Arial" w:cs="Arial"/>
          <w:sz w:val="20"/>
        </w:rPr>
        <w:t xml:space="preserve">secundária</w:t>
      </w:r>
      <w:r>
        <w:rPr>
          <w:rFonts w:ascii="Arial" w:hAnsi="Arial" w:cs="Arial"/>
          <w:spacing w:val="-1"/>
          <w:sz w:val="20"/>
        </w:rPr>
        <w:t xml:space="preserve"> </w:t>
      </w:r>
      <w:r>
        <w:rPr>
          <w:rFonts w:ascii="Arial" w:hAnsi="Arial" w:cs="Arial"/>
          <w:sz w:val="20"/>
        </w:rPr>
        <w:t xml:space="preserve">(credenciamento) da</w:t>
      </w:r>
      <w:r>
        <w:rPr>
          <w:rFonts w:ascii="Arial" w:hAnsi="Arial" w:cs="Arial"/>
          <w:spacing w:val="-1"/>
          <w:sz w:val="20"/>
        </w:rPr>
        <w:t xml:space="preserve"> </w:t>
      </w:r>
      <w:r>
        <w:rPr>
          <w:rFonts w:ascii="Arial" w:hAnsi="Arial" w:cs="Arial"/>
          <w:sz w:val="20"/>
        </w:rPr>
        <w:t xml:space="preserve">rede</w:t>
      </w:r>
      <w:r>
        <w:rPr>
          <w:rFonts w:ascii="Arial" w:hAnsi="Arial" w:cs="Arial"/>
          <w:spacing w:val="-1"/>
          <w:sz w:val="20"/>
        </w:rPr>
        <w:t xml:space="preserve"> </w:t>
      </w:r>
      <w:r>
        <w:rPr>
          <w:rFonts w:ascii="Arial" w:hAnsi="Arial" w:cs="Arial"/>
          <w:sz w:val="20"/>
        </w:rPr>
        <w:t xml:space="preserve">credenciada, desde que limitada ao porcentual de 10% (dez por cento), sobre o valor final de cada processo ao objeto licitado finalizado sobre as credenciadas.</w:t>
      </w:r>
      <w:r>
        <w:rPr>
          <w:rFonts w:ascii="Arial" w:hAnsi="Arial" w:cs="Arial"/>
          <w:sz w:val="20"/>
        </w:rPr>
      </w:r>
    </w:p>
    <w:p w14:paraId="41EAA541" w14:textId="77777777">
      <w:pPr>
        <w:pStyle w:val="1120"/>
        <w:widowControl w:val="false"/>
        <w:pBdr/>
        <w:tabs>
          <w:tab w:val="left" w:leader="none" w:pos="388"/>
        </w:tabs>
        <w:spacing w:line="244" w:lineRule="auto"/>
        <w:ind w:right="147" w:left="143"/>
        <w:jc w:val="both"/>
        <w:rPr>
          <w:rFonts w:ascii="Arial" w:hAnsi="Arial" w:cs="Arial"/>
          <w:sz w:val="20"/>
        </w:rPr>
      </w:pPr>
      <w:r>
        <w:rPr>
          <w:rFonts w:ascii="Arial" w:hAnsi="Arial" w:cs="Arial"/>
          <w:sz w:val="20"/>
        </w:rPr>
      </w:r>
      <w:r>
        <w:rPr>
          <w:rFonts w:ascii="Arial" w:hAnsi="Arial" w:cs="Arial"/>
          <w:sz w:val="20"/>
        </w:rPr>
      </w:r>
    </w:p>
    <w:p w14:paraId="61D2866D" w14:textId="77777777">
      <w:pPr>
        <w:pStyle w:val="1120"/>
        <w:widowControl w:val="false"/>
        <w:pBdr/>
        <w:tabs>
          <w:tab w:val="left" w:leader="none" w:pos="388"/>
        </w:tabs>
        <w:spacing w:line="244" w:lineRule="auto"/>
        <w:ind w:right="147" w:left="143"/>
        <w:jc w:val="both"/>
        <w:rPr>
          <w:rFonts w:ascii="Arial" w:hAnsi="Arial" w:cs="Arial"/>
          <w:sz w:val="20"/>
          <w:szCs w:val="20"/>
        </w:rPr>
      </w:pPr>
      <w:r>
        <w:rPr>
          <w:rFonts w:ascii="Arial" w:hAnsi="Arial" w:cs="Arial"/>
          <w:sz w:val="20"/>
          <w:szCs w:val="20"/>
        </w:rPr>
        <w:t xml:space="preserve">O TCU considera regular a</w:t>
      </w:r>
      <w:r>
        <w:rPr>
          <w:rFonts w:ascii="Arial" w:hAnsi="Arial" w:cs="Arial"/>
          <w:sz w:val="20"/>
          <w:szCs w:val="20"/>
        </w:rPr>
        <w:t xml:space="preserve"> inserção de fixação de limite para à taxa secundária ou taxa de credenciamento, por entender que tal regra se revela uma forma de aperfeiçoar o modelo de contratação, é o que se depreende do Acórdão nº 1.949/2021 do Processo 25.832/2021-2 - TCU – Plenário</w:t>
      </w:r>
      <w:r>
        <w:rPr>
          <w:rFonts w:ascii="Arial" w:hAnsi="Arial" w:cs="Arial"/>
          <w:sz w:val="20"/>
          <w:szCs w:val="20"/>
        </w:rPr>
        <w:br/>
      </w:r>
      <w:r>
        <w:rPr>
          <w:rFonts w:ascii="Arial" w:hAnsi="Arial" w:cs="Arial"/>
          <w:sz w:val="20"/>
          <w:szCs w:val="20"/>
        </w:rPr>
        <w:br/>
        <w:t xml:space="preserve">A fixação do limite visa assegurar a obtenção da proposta mais vantajosa, coibindo a apresentação de percentuais incompatíveis com a realidade de mercado ou que possam comprometer a execução contratual, </w:t>
      </w:r>
      <w:r>
        <w:rPr>
          <w:rFonts w:ascii="Arial" w:hAnsi="Arial" w:cs="Arial"/>
          <w:b/>
          <w:bCs/>
          <w:sz w:val="20"/>
          <w:szCs w:val="20"/>
        </w:rPr>
        <w:t xml:space="preserve">em conformidade com o entendimento do Tribunal de Contas da União, consubstanciado no Acórdão nº 1.949/2021 – Plenário (Processo nº 025.832/2021-2)</w:t>
      </w:r>
      <w:r>
        <w:rPr>
          <w:rFonts w:ascii="Arial" w:hAnsi="Arial" w:cs="Arial"/>
          <w:sz w:val="20"/>
          <w:szCs w:val="20"/>
        </w:rPr>
        <w:t xml:space="preserve">, que considerou </w:t>
      </w:r>
      <w:r>
        <w:rPr>
          <w:rFonts w:ascii="Arial" w:hAnsi="Arial" w:cs="Arial"/>
          <w:b/>
          <w:bCs/>
          <w:sz w:val="20"/>
          <w:szCs w:val="20"/>
        </w:rPr>
        <w:t xml:space="preserve">regular a inserção de limite à taxa de administração ou taxa secundária</w:t>
      </w:r>
      <w:r>
        <w:rPr>
          <w:rFonts w:ascii="Arial" w:hAnsi="Arial" w:cs="Arial"/>
          <w:sz w:val="20"/>
          <w:szCs w:val="20"/>
        </w:rPr>
        <w:t xml:space="preserve">, por entender que tal regra aperfeiçoa o modelo de contratação e reforça o controle de custos e a transparência na execução contratual.</w:t>
      </w:r>
      <w:r>
        <w:rPr>
          <w:rFonts w:ascii="Arial" w:hAnsi="Arial" w:cs="Arial"/>
          <w:sz w:val="20"/>
          <w:szCs w:val="20"/>
        </w:rPr>
      </w:r>
    </w:p>
    <w:p w14:paraId="03FE28E8" w14:textId="77777777">
      <w:pPr>
        <w:pStyle w:val="1120"/>
        <w:widowControl w:val="false"/>
        <w:numPr>
          <w:ilvl w:val="0"/>
          <w:numId w:val="15"/>
        </w:numPr>
        <w:pBdr/>
        <w:tabs>
          <w:tab w:val="left" w:leader="none" w:pos="394"/>
        </w:tabs>
        <w:spacing w:before="226" w:line="247" w:lineRule="auto"/>
        <w:ind w:right="143" w:firstLine="0"/>
        <w:jc w:val="both"/>
        <w:rPr>
          <w:rFonts w:ascii="Arial" w:hAnsi="Arial" w:cs="Arial"/>
          <w:sz w:val="20"/>
        </w:rPr>
      </w:pPr>
      <w:r>
        <w:rPr>
          <w:rFonts w:ascii="Arial" w:hAnsi="Arial" w:cs="Arial"/>
          <w:sz w:val="20"/>
        </w:rPr>
        <w:t xml:space="preserve">Não serão admitidas cobranças de taxas adicionais, tais como taxa de antecipação ou taxa de divulgação, entre outras.</w:t>
      </w:r>
      <w:r>
        <w:rPr>
          <w:rFonts w:ascii="Arial" w:hAnsi="Arial" w:cs="Arial"/>
          <w:sz w:val="20"/>
        </w:rPr>
      </w:r>
    </w:p>
    <w:p w14:paraId="48741064" w14:textId="77777777">
      <w:pPr>
        <w:pBdr/>
        <w:spacing/>
        <w:ind/>
        <w:jc w:val="both"/>
        <w:rPr/>
      </w:pPr>
      <w:r/>
      <w:r/>
    </w:p>
    <w:p w14:paraId="27A5AA71" w14:textId="1CA8CF82">
      <w:pPr>
        <w:pBdr/>
        <w:spacing/>
        <w:ind w:left="426"/>
        <w:jc w:val="both"/>
        <w:rPr/>
      </w:pPr>
      <w:r>
        <w:rPr>
          <w:rFonts w:ascii="Arial" w:hAnsi="Arial" w:cs="Arial"/>
          <w:sz w:val="19"/>
          <w:szCs w:val="19"/>
        </w:rPr>
        <w:t xml:space="preserve">12.2.1. As propostas cadastradas divergentes ao solicitado no item 6.2</w:t>
      </w:r>
      <w:r>
        <w:rPr>
          <w:rFonts w:ascii="Arial" w:hAnsi="Arial" w:cs="Arial"/>
          <w:sz w:val="19"/>
          <w:szCs w:val="19"/>
        </w:rPr>
        <w:t xml:space="preserve"> (edital)</w:t>
      </w:r>
      <w:r>
        <w:rPr>
          <w:rFonts w:ascii="Arial" w:hAnsi="Arial" w:cs="Arial"/>
          <w:sz w:val="19"/>
          <w:szCs w:val="19"/>
        </w:rPr>
        <w:t xml:space="preserve"> poderão serem desclassificadas, uma vez que dificulta a operacionalização do sistema em razão da classificação de ME, EPP. </w:t>
      </w:r>
      <w:r/>
    </w:p>
    <w:p w14:paraId="198869ED" w14:textId="77777777">
      <w:pPr>
        <w:pBdr/>
        <w:spacing/>
        <w:ind/>
        <w:jc w:val="both"/>
        <w:rPr>
          <w:rFonts w:ascii="Arial" w:cs="Arial"/>
        </w:rPr>
      </w:pPr>
      <w:r>
        <w:rPr>
          <w:rFonts w:ascii="Arial" w:cs="Arial"/>
        </w:rPr>
      </w:r>
      <w:r>
        <w:rPr>
          <w:rFonts w:ascii="Arial" w:cs="Arial"/>
        </w:rPr>
      </w:r>
    </w:p>
    <w:p w14:paraId="21545768" w14:textId="77777777">
      <w:pPr>
        <w:pBdr/>
        <w:spacing/>
        <w:ind/>
        <w:jc w:val="both"/>
        <w:rPr/>
      </w:pPr>
      <w:r>
        <w:rPr>
          <w:rFonts w:ascii="Arial" w:hAnsi="Arial" w:cs="Arial"/>
        </w:rPr>
        <w:t xml:space="preserve">12.3. As propostas iniciais, bem como, todos os documentos exigidos para habilitação deverão serem cadastrados via sistema eletrônico na plataforma BLL.</w:t>
      </w:r>
      <w:r/>
    </w:p>
    <w:p w14:paraId="3BA9EE00" w14:textId="77777777">
      <w:pPr>
        <w:pBdr/>
        <w:spacing/>
        <w:ind/>
        <w:jc w:val="both"/>
        <w:rPr>
          <w:rFonts w:ascii="Arial" w:cs="Arial"/>
        </w:rPr>
      </w:pPr>
      <w:r>
        <w:rPr>
          <w:rFonts w:ascii="Arial" w:cs="Arial"/>
        </w:rPr>
      </w:r>
      <w:r>
        <w:rPr>
          <w:rFonts w:ascii="Arial" w:cs="Arial"/>
        </w:rPr>
      </w:r>
    </w:p>
    <w:p w14:paraId="011C38D7" w14:textId="77777777">
      <w:pPr>
        <w:pBdr/>
        <w:spacing/>
        <w:ind/>
        <w:jc w:val="both"/>
        <w:rPr/>
      </w:pPr>
      <w:r>
        <w:rPr>
          <w:rFonts w:ascii="Arial" w:hAnsi="Arial" w:cs="Arial"/>
        </w:rPr>
        <w:t xml:space="preserve">12.4. A apresentação da(s) proposta(s) inicial(ais), bem como, os lances ofertados quando for o caso, demonstra que o licitante t</w:t>
      </w:r>
      <w:r>
        <w:rPr>
          <w:rFonts w:ascii="Arial" w:hAnsi="Arial" w:cs="Arial"/>
        </w:rPr>
        <w:t xml:space="preserve">em conhecimento do objeto, valor estimado devidamente descrito no formulário padrão da P.M.R. denominado de formação de preços e atendimento às exigências para habilitação, portanto, demostra pleno conhecimento das regras previstas no Edital e seus Anexos.</w:t>
      </w:r>
      <w:r/>
    </w:p>
    <w:p w14:paraId="32BD447B" w14:textId="77777777">
      <w:pPr>
        <w:pBdr/>
        <w:spacing/>
        <w:ind/>
        <w:jc w:val="both"/>
        <w:rPr>
          <w:rFonts w:ascii="Arial" w:cs="Arial"/>
        </w:rPr>
      </w:pPr>
      <w:r>
        <w:rPr>
          <w:rFonts w:ascii="Arial" w:cs="Arial"/>
        </w:rPr>
      </w:r>
      <w:r>
        <w:rPr>
          <w:rFonts w:ascii="Arial" w:cs="Arial"/>
        </w:rPr>
      </w:r>
    </w:p>
    <w:p w14:paraId="21F8FB41" w14:textId="77777777">
      <w:pPr>
        <w:pBdr/>
        <w:spacing/>
        <w:ind w:left="426"/>
        <w:jc w:val="both"/>
        <w:rPr/>
      </w:pPr>
      <w:r>
        <w:rPr>
          <w:rFonts w:ascii="Arial" w:hAnsi="Arial" w:cs="Arial"/>
          <w:sz w:val="19"/>
          <w:szCs w:val="19"/>
        </w:rPr>
        <w:t xml:space="preserve">12.4.1. A empresa/licitante será</w:t>
      </w:r>
      <w:r>
        <w:rPr>
          <w:rFonts w:ascii="Arial" w:hAnsi="Arial" w:cs="Arial"/>
          <w:sz w:val="19"/>
          <w:szCs w:val="19"/>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p>
    <w:p w14:paraId="67CBA00D" w14:textId="77777777">
      <w:pPr>
        <w:pBdr/>
        <w:spacing/>
        <w:ind/>
        <w:jc w:val="both"/>
        <w:rPr>
          <w:rFonts w:ascii="Arial" w:cs="Arial"/>
          <w:b/>
        </w:rPr>
      </w:pPr>
      <w:r>
        <w:rPr>
          <w:rFonts w:ascii="Arial" w:cs="Arial"/>
          <w:b/>
        </w:rPr>
      </w:r>
      <w:r>
        <w:rPr>
          <w:rFonts w:ascii="Arial" w:cs="Arial"/>
          <w:b/>
        </w:rPr>
      </w:r>
    </w:p>
    <w:p w14:paraId="09C7F418" w14:textId="77777777">
      <w:pPr>
        <w:pBdr/>
        <w:spacing/>
        <w:ind/>
        <w:jc w:val="both"/>
        <w:rPr/>
      </w:pPr>
      <w:r>
        <w:rPr>
          <w:rFonts w:ascii="Arial" w:hAnsi="Arial" w:cs="Arial"/>
        </w:rPr>
        <w:t xml:space="preserve">12.5. Portanto, o licitante responsabiliza-se exclusiva e formalmente pelas transações efetuadas em seu nome, assume como firmes e verdadeiras suas propostas e seus lances, inclusiv</w:t>
      </w:r>
      <w:r>
        <w:rPr>
          <w:rFonts w:ascii="Arial" w:hAnsi="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p>
    <w:p w14:paraId="56EC04F3" w14:textId="77777777">
      <w:pPr>
        <w:pBdr/>
        <w:spacing/>
        <w:ind/>
        <w:jc w:val="both"/>
        <w:rPr>
          <w:rFonts w:ascii="Arial" w:cs="Arial"/>
          <w:b/>
        </w:rPr>
      </w:pPr>
      <w:r>
        <w:rPr>
          <w:rFonts w:ascii="Arial" w:cs="Arial"/>
          <w:b/>
        </w:rPr>
      </w:r>
      <w:r>
        <w:rPr>
          <w:rFonts w:ascii="Arial" w:cs="Arial"/>
          <w:b/>
        </w:rPr>
      </w:r>
    </w:p>
    <w:p w14:paraId="3786BC03" w14:textId="77777777">
      <w:pPr>
        <w:pBdr/>
        <w:spacing/>
        <w:ind/>
        <w:jc w:val="both"/>
        <w:rPr>
          <w:rFonts w:ascii="Arial" w:hAnsi="Arial" w:cs="Arial"/>
        </w:rPr>
      </w:pPr>
      <w:r>
        <w:rPr>
          <w:rFonts w:ascii="Arial" w:hAnsi="Arial" w:cs="Arial"/>
        </w:rPr>
        <w:t xml:space="preserve">12.6. Será concedido tratamento favorecido para as microempresas e empresas de pequeno porte, </w:t>
      </w:r>
      <w:r>
        <w:rPr>
          <w:rFonts w:ascii="Arial" w:hAnsi="Arial" w:cs="Arial"/>
          <w:color w:val="000000"/>
        </w:rPr>
        <w:t xml:space="preserve">para as sociedades cooperativas mencionadas no </w:t>
      </w:r>
      <w:hyperlink r:id="rId49" w:tooltip="http://www.planalto.gov.br/ccivil_03/_ato2019-2022/2021/lei/L14133.htm#art16" w:anchor="art16" w:history="1">
        <w:r>
          <w:rPr>
            <w:rFonts w:ascii="Arial" w:hAnsi="Arial" w:cs="Arial"/>
            <w:color w:val="000000"/>
            <w:u w:val="single"/>
          </w:rPr>
          <w:t xml:space="preserve">artigo 16 da Lei nº 14.133, de 2021</w:t>
        </w:r>
      </w:hyperlink>
      <w:r>
        <w:rPr>
          <w:rFonts w:ascii="Arial" w:hAnsi="Arial" w:cs="Arial"/>
        </w:rPr>
        <w:t xml:space="preserve">, para o agricultor familiar, o produtor rural pessoa física e para o microempreendedor individual - MEI, nos limites previstos da </w:t>
      </w:r>
      <w:hyperlink r:id="rId50" w:tooltip="https://www.planalto.gov.br/ccivil_03/leis/lcp/lcp123.htm" w:history="1">
        <w:r>
          <w:rPr>
            <w:rFonts w:ascii="Arial" w:hAnsi="Arial" w:cs="Arial"/>
            <w:color w:val="000000"/>
            <w:u w:val="single"/>
          </w:rPr>
          <w:t xml:space="preserve">Lei Complementar nº 123, de 2006</w:t>
        </w:r>
      </w:hyperlink>
      <w:r>
        <w:rPr>
          <w:rFonts w:ascii="Arial" w:hAnsi="Arial" w:cs="Arial"/>
        </w:rPr>
        <w:t xml:space="preserve"> e do Decreto n.º 8.538, de 2015.</w:t>
      </w:r>
      <w:r>
        <w:rPr>
          <w:rFonts w:ascii="Arial" w:hAnsi="Arial" w:cs="Arial"/>
        </w:rPr>
      </w:r>
    </w:p>
    <w:p w14:paraId="0DCF109C" w14:textId="77777777">
      <w:pPr>
        <w:pBdr/>
        <w:spacing/>
        <w:ind/>
        <w:jc w:val="both"/>
        <w:rPr>
          <w:rFonts w:ascii="Arial" w:hAnsi="Arial" w:cs="Arial"/>
        </w:rPr>
      </w:pPr>
      <w:r>
        <w:rPr>
          <w:rFonts w:ascii="Arial" w:hAnsi="Arial" w:cs="Arial"/>
        </w:rPr>
      </w:r>
      <w:r>
        <w:rPr>
          <w:rFonts w:ascii="Arial" w:hAnsi="Arial" w:cs="Arial"/>
        </w:rPr>
      </w:r>
    </w:p>
    <w:tbl>
      <w:tblPr>
        <w:tblInd w:w="90" w:type="dxa"/>
        <w:tblW w:w="10100" w:type="dxa"/>
        <w:tblBorders/>
        <w:tblLayout w:type="fixed"/>
        <w:tblLook w:val="0000" w:firstRow="0" w:lastRow="0" w:firstColumn="0" w:lastColumn="0" w:noHBand="0" w:noVBand="0"/>
      </w:tblPr>
      <w:tblGrid>
        <w:gridCol w:w="10100"/>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100" w:type="dxa"/>
            <w:textDirection w:val="lrTb"/>
            <w:noWrap w:val="false"/>
          </w:tcPr>
          <w:p w14:paraId="78A7C9E5" w14:textId="77777777">
            <w:pPr>
              <w:widowControl w:val="false"/>
              <w:pBdr/>
              <w:spacing/>
              <w:ind w:left="-89"/>
              <w:jc w:val="center"/>
              <w:rPr>
                <w:rFonts w:ascii="Arial" w:hAnsi="Arial" w:cs="Arial"/>
              </w:rPr>
            </w:pPr>
            <w:r>
              <w:rPr>
                <w:rFonts w:ascii="Arial" w:hAnsi="Arial" w:cs="Arial"/>
                <w:b/>
                <w:bCs/>
              </w:rPr>
              <w:t xml:space="preserve">13. ESTIMATIVA DO VALOR, – Art. 6º, XXIII, “i”</w:t>
            </w:r>
            <w:r>
              <w:rPr>
                <w:rFonts w:ascii="Arial" w:hAnsi="Arial" w:cs="Arial"/>
              </w:rPr>
            </w:r>
          </w:p>
        </w:tc>
      </w:tr>
    </w:tbl>
    <w:p w14:paraId="10D95072" w14:textId="77777777">
      <w:pPr>
        <w:pBdr/>
        <w:spacing w:line="360" w:lineRule="auto"/>
        <w:ind/>
        <w:jc w:val="both"/>
        <w:rPr>
          <w:rFonts w:ascii="Arial" w:hAnsi="Arial" w:cs="Arial"/>
        </w:rPr>
      </w:pPr>
      <w:r>
        <w:rPr>
          <w:rFonts w:ascii="Arial" w:hAnsi="Arial" w:cs="Arial"/>
        </w:rPr>
        <w:t xml:space="preserve">13.1. O custo estimado total da contratação é de R$  2.317.500,00 ( Dois milhões, trezentos e dezessete mil e quinhentos reais)</w:t>
      </w:r>
      <w:r>
        <w:rPr>
          <w:rFonts w:ascii="Arial" w:hAnsi="Arial" w:cs="Arial"/>
          <w:lang w:eastAsia="zh-CN"/>
        </w:rPr>
        <w:t xml:space="preserve">, conforme planilha contendo os preços unitários referenciais, memórias de cálculo e orçamentos em anexo.</w:t>
      </w:r>
      <w:r>
        <w:rPr>
          <w:rFonts w:ascii="Arial" w:hAnsi="Arial" w:cs="Arial"/>
        </w:rPr>
      </w:r>
    </w:p>
    <w:tbl>
      <w:tblPr>
        <w:tblInd w:w="90" w:type="dxa"/>
        <w:tblW w:w="10100" w:type="dxa"/>
        <w:tblBorders/>
        <w:tblLayout w:type="fixed"/>
        <w:tblLook w:val="0000" w:firstRow="0" w:lastRow="0" w:firstColumn="0" w:lastColumn="0" w:noHBand="0" w:noVBand="0"/>
      </w:tblPr>
      <w:tblGrid>
        <w:gridCol w:w="10100"/>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100" w:type="dxa"/>
            <w:textDirection w:val="lrTb"/>
            <w:noWrap w:val="false"/>
          </w:tcPr>
          <w:p w14:paraId="7BEFDC68" w14:textId="77777777">
            <w:pPr>
              <w:widowControl w:val="false"/>
              <w:pBdr/>
              <w:spacing/>
              <w:ind w:left="-89"/>
              <w:jc w:val="center"/>
              <w:rPr>
                <w:rFonts w:ascii="Arial" w:hAnsi="Arial" w:cs="Arial"/>
              </w:rPr>
            </w:pPr>
            <w:r>
              <w:rPr>
                <w:rFonts w:ascii="Arial" w:hAnsi="Arial" w:cs="Arial"/>
                <w:b/>
                <w:bCs/>
              </w:rPr>
              <w:t xml:space="preserve">14. ADEQUAÇÃO ORÇAMENTÁRIA – Art. 6º, XXIII, “i”</w:t>
            </w:r>
            <w:r>
              <w:rPr>
                <w:rFonts w:ascii="Arial" w:hAnsi="Arial" w:cs="Arial"/>
              </w:rPr>
            </w:r>
          </w:p>
        </w:tc>
      </w:tr>
    </w:tbl>
    <w:p w14:paraId="3D4F9CD3" w14:textId="77777777">
      <w:pPr>
        <w:pBdr/>
        <w:spacing/>
        <w:ind/>
        <w:jc w:val="both"/>
        <w:rPr>
          <w:rFonts w:ascii="Arial" w:hAnsi="Arial" w:cs="Arial"/>
        </w:rPr>
      </w:pPr>
      <w:r>
        <w:rPr>
          <w:rFonts w:ascii="Arial" w:hAnsi="Arial" w:cs="Arial"/>
        </w:rPr>
        <w:t xml:space="preserve">14.1. As despesas decorrentes da presente contratação correrão à conta de recursos específicos consignados no Orçamento do Município.</w:t>
      </w:r>
      <w:r>
        <w:rPr>
          <w:rFonts w:ascii="Arial" w:hAnsi="Arial" w:cs="Arial"/>
        </w:rPr>
      </w:r>
    </w:p>
    <w:p w14:paraId="32403175" w14:textId="77777777">
      <w:pPr>
        <w:pBdr/>
        <w:spacing/>
        <w:ind w:right="269"/>
        <w:jc w:val="both"/>
        <w:rPr>
          <w:rFonts w:ascii="Arial" w:hAnsi="Arial" w:cs="Arial"/>
        </w:rPr>
      </w:pPr>
      <w:r>
        <w:rPr>
          <w:rFonts w:ascii="Arial" w:hAnsi="Arial" w:cs="Arial"/>
        </w:rPr>
        <w:t xml:space="preserve">14.2. A contratação será atendida pela seguinte dotação:</w:t>
      </w:r>
      <w:r>
        <w:rPr>
          <w:rFonts w:ascii="Arial" w:hAnsi="Arial" w:cs="Arial"/>
        </w:rPr>
      </w:r>
    </w:p>
    <w:p w14:paraId="63B61112" w14:textId="77777777">
      <w:pPr>
        <w:pBdr/>
        <w:spacing/>
        <w:ind w:right="269"/>
        <w:jc w:val="both"/>
        <w:rPr>
          <w:rFonts w:ascii="Arial" w:hAnsi="Arial" w:cs="Arial"/>
        </w:rPr>
      </w:pPr>
      <w:r>
        <w:rPr>
          <w:rFonts w:ascii="Arial" w:hAnsi="Arial" w:cs="Arial"/>
        </w:rPr>
      </w:r>
      <w:r>
        <w:rPr>
          <w:rFonts w:ascii="Arial" w:hAnsi="Arial" w:cs="Arial"/>
        </w:rPr>
      </w:r>
    </w:p>
    <w:tbl>
      <w:tblPr>
        <w:tblInd w:w="90" w:type="dxa"/>
        <w:tblW w:w="10075" w:type="dxa"/>
        <w:tblBorders/>
        <w:tblLayout w:type="fixed"/>
        <w:tblLook w:val="0000" w:firstRow="0" w:lastRow="0" w:firstColumn="0" w:lastColumn="0" w:noHBand="0" w:noVBand="0"/>
      </w:tblPr>
      <w:tblGrid>
        <w:gridCol w:w="3063"/>
        <w:gridCol w:w="7012"/>
      </w:tblGrid>
      <w:tr>
        <w:trPr/>
        <w:tc>
          <w:tcPr>
            <w:gridSpan w:val="2"/>
            <w:shd w:val="clear" w:color="auto" w:fill="dddddd"/>
            <w:tcBorders>
              <w:top w:val="single" w:color="000000" w:sz="4" w:space="0"/>
              <w:left w:val="single" w:color="000000" w:sz="4" w:space="0"/>
              <w:bottom w:val="single" w:color="000000" w:sz="4" w:space="0"/>
              <w:right w:val="single" w:color="000000" w:sz="4" w:space="0"/>
            </w:tcBorders>
            <w:tcW w:w="10075" w:type="dxa"/>
            <w:textDirection w:val="lrTb"/>
            <w:noWrap w:val="false"/>
          </w:tcPr>
          <w:p w14:paraId="5AB9C8E3" w14:textId="77777777">
            <w:pPr>
              <w:pBdr/>
              <w:spacing/>
              <w:ind/>
              <w:jc w:val="center"/>
              <w:rPr>
                <w:rFonts w:ascii="Arial" w:hAnsi="Arial" w:cs="Arial"/>
              </w:rPr>
            </w:pPr>
            <w:r>
              <w:rPr>
                <w:rFonts w:ascii="Arial" w:hAnsi="Arial" w:cs="Arial"/>
                <w:b/>
                <w:bCs/>
              </w:rPr>
              <w:t xml:space="preserve">CLASSIFICAÇÃO ORÇAMENTÁRIA</w:t>
            </w:r>
            <w:r>
              <w:rPr>
                <w:rFonts w:ascii="Arial" w:hAnsi="Arial" w:cs="Arial"/>
              </w:rPr>
            </w:r>
          </w:p>
        </w:tc>
      </w:tr>
      <w:tr>
        <w:trPr/>
        <w:tc>
          <w:tcPr>
            <w:tcBorders>
              <w:left w:val="single" w:color="000000" w:sz="4" w:space="0"/>
              <w:bottom w:val="single" w:color="000000" w:sz="4" w:space="0"/>
              <w:right w:val="single" w:color="000000" w:sz="4" w:space="0"/>
            </w:tcBorders>
            <w:tcW w:w="3063" w:type="dxa"/>
            <w:textDirection w:val="lrTb"/>
            <w:noWrap w:val="false"/>
          </w:tcPr>
          <w:p w14:paraId="0ED25668" w14:textId="77777777">
            <w:pPr>
              <w:pBdr/>
              <w:spacing/>
              <w:ind/>
              <w:rPr>
                <w:rFonts w:ascii="Arial" w:hAnsi="Arial" w:cs="Arial"/>
                <w:b/>
                <w:bCs/>
              </w:rPr>
            </w:pPr>
            <w:r>
              <w:rPr>
                <w:rFonts w:ascii="Arial" w:hAnsi="Arial" w:cs="Arial"/>
                <w:b/>
                <w:bCs/>
              </w:rPr>
              <w:t xml:space="preserve">Órgão</w:t>
            </w:r>
            <w:r>
              <w:rPr>
                <w:rFonts w:ascii="Arial" w:hAnsi="Arial" w:cs="Arial"/>
                <w:b/>
                <w:bCs/>
              </w:rPr>
            </w:r>
          </w:p>
        </w:tc>
        <w:tc>
          <w:tcPr>
            <w:tcBorders>
              <w:left w:val="single" w:color="000000" w:sz="4" w:space="0"/>
              <w:bottom w:val="single" w:color="000000" w:sz="4" w:space="0"/>
              <w:right w:val="single" w:color="000000" w:sz="4" w:space="0"/>
            </w:tcBorders>
            <w:tcW w:w="7012" w:type="dxa"/>
            <w:textDirection w:val="lrTb"/>
            <w:noWrap w:val="false"/>
          </w:tcPr>
          <w:p w14:paraId="36497C78" w14:textId="77777777">
            <w:pPr>
              <w:pBdr/>
              <w:spacing/>
              <w:ind/>
              <w:jc w:val="both"/>
              <w:rPr>
                <w:rFonts w:ascii="Arial" w:hAnsi="Arial" w:cs="Arial"/>
              </w:rPr>
            </w:pPr>
            <w:r>
              <w:rPr>
                <w:rFonts w:ascii="Arial" w:hAnsi="Arial" w:cs="Arial"/>
              </w:rPr>
              <w:t xml:space="preserve">02 - Prefeitura Municipal de Rondonópolis</w:t>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3063" w:type="dxa"/>
            <w:textDirection w:val="lrTb"/>
            <w:noWrap w:val="false"/>
          </w:tcPr>
          <w:p w14:paraId="6B0DE970" w14:textId="77777777">
            <w:pPr>
              <w:pBdr/>
              <w:spacing/>
              <w:ind/>
              <w:rPr>
                <w:rFonts w:ascii="Arial" w:hAnsi="Arial" w:cs="Arial"/>
                <w:b/>
                <w:bCs/>
              </w:rPr>
            </w:pPr>
            <w:r>
              <w:rPr>
                <w:rFonts w:ascii="Arial" w:hAnsi="Arial" w:cs="Arial"/>
                <w:b/>
                <w:bCs/>
              </w:rPr>
              <w:t xml:space="preserve">Unidade</w:t>
            </w:r>
            <w:r>
              <w:rPr>
                <w:rFonts w:ascii="Arial" w:hAnsi="Arial" w:cs="Arial"/>
                <w:b/>
                <w:bCs/>
              </w:rPr>
            </w:r>
          </w:p>
        </w:tc>
        <w:tc>
          <w:tcPr>
            <w:tcBorders>
              <w:top w:val="single" w:color="000000" w:sz="4" w:space="0"/>
              <w:left w:val="single" w:color="000000" w:sz="4" w:space="0"/>
              <w:bottom w:val="single" w:color="000000" w:sz="4" w:space="0"/>
              <w:right w:val="single" w:color="000000" w:sz="4" w:space="0"/>
            </w:tcBorders>
            <w:tcW w:w="7012" w:type="dxa"/>
            <w:textDirection w:val="lrTb"/>
            <w:noWrap w:val="false"/>
          </w:tcPr>
          <w:p w14:paraId="0FC152B2" w14:textId="77777777">
            <w:pPr>
              <w:pBdr/>
              <w:spacing/>
              <w:ind/>
              <w:rPr>
                <w:rFonts w:ascii="Arial" w:hAnsi="Arial" w:cs="Arial"/>
              </w:rPr>
            </w:pPr>
            <w:r>
              <w:rPr>
                <w:rFonts w:ascii="Arial" w:hAnsi="Arial" w:cs="Arial"/>
              </w:rPr>
              <w:t xml:space="preserve">13-FUNDO MUNICIPAL DE ASSISTÊNCIA SOCIAL</w:t>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3063" w:type="dxa"/>
            <w:textDirection w:val="lrTb"/>
            <w:noWrap w:val="false"/>
          </w:tcPr>
          <w:p w14:paraId="16190295" w14:textId="77777777">
            <w:pPr>
              <w:pBdr/>
              <w:spacing/>
              <w:ind/>
              <w:rPr>
                <w:rFonts w:ascii="Arial" w:hAnsi="Arial" w:cs="Arial"/>
                <w:b/>
                <w:bCs/>
              </w:rPr>
            </w:pPr>
            <w:r>
              <w:rPr>
                <w:rFonts w:ascii="Arial" w:hAnsi="Arial" w:cs="Arial"/>
                <w:b/>
                <w:bCs/>
              </w:rPr>
              <w:t xml:space="preserve">Funcional Programática</w:t>
            </w:r>
            <w:r>
              <w:rPr>
                <w:rFonts w:ascii="Arial" w:hAnsi="Arial" w:cs="Arial"/>
                <w:b/>
                <w:bCs/>
              </w:rPr>
            </w:r>
          </w:p>
        </w:tc>
        <w:tc>
          <w:tcPr>
            <w:tcBorders>
              <w:top w:val="single" w:color="000000" w:sz="4" w:space="0"/>
              <w:left w:val="single" w:color="000000" w:sz="4" w:space="0"/>
              <w:bottom w:val="single" w:color="000000" w:sz="4" w:space="0"/>
              <w:right w:val="single" w:color="000000" w:sz="4" w:space="0"/>
            </w:tcBorders>
            <w:tcW w:w="7012" w:type="dxa"/>
            <w:textDirection w:val="lrTb"/>
            <w:noWrap w:val="false"/>
          </w:tcPr>
          <w:p w14:paraId="5884C773" w14:textId="77777777">
            <w:pPr>
              <w:pBdr/>
              <w:spacing/>
              <w:ind/>
              <w:rPr>
                <w:rFonts w:ascii="Arial" w:hAnsi="Arial" w:cs="Arial"/>
              </w:rPr>
            </w:pPr>
            <w:r>
              <w:rPr>
                <w:rFonts w:ascii="Arial" w:hAnsi="Arial" w:cs="Arial"/>
              </w:rPr>
              <w:t xml:space="preserve">08.245.2207.2255- SERVIÇOS DE PROTEÇÃO SOCIAL BÁSICA (CRAS, EQ. VOLANTE, SCFV)</w:t>
            </w:r>
            <w:r>
              <w:rPr>
                <w:rFonts w:ascii="Arial" w:hAnsi="Arial" w:cs="Arial"/>
              </w:rPr>
            </w:r>
          </w:p>
        </w:tc>
      </w:tr>
      <w:tr>
        <w:trPr/>
        <w:tc>
          <w:tcPr>
            <w:tcBorders>
              <w:top w:val="single" w:color="000000" w:sz="4" w:space="0"/>
              <w:left w:val="single" w:color="000000" w:sz="4" w:space="0"/>
              <w:bottom w:val="single" w:color="000000" w:sz="4" w:space="0"/>
              <w:right w:val="single" w:color="000000" w:sz="4" w:space="0"/>
            </w:tcBorders>
            <w:tcW w:w="3063" w:type="dxa"/>
            <w:textDirection w:val="lrTb"/>
            <w:noWrap w:val="false"/>
          </w:tcPr>
          <w:p w14:paraId="6C19420B" w14:textId="77777777">
            <w:pPr>
              <w:pBdr/>
              <w:spacing/>
              <w:ind/>
              <w:rPr>
                <w:rFonts w:ascii="Arial" w:hAnsi="Arial" w:cs="Arial"/>
                <w:b/>
                <w:bCs/>
              </w:rPr>
            </w:pPr>
            <w:r>
              <w:rPr>
                <w:rFonts w:ascii="Arial" w:hAnsi="Arial" w:cs="Arial"/>
                <w:b/>
                <w:bCs/>
              </w:rPr>
              <w:t xml:space="preserve">Elemento de Despesa</w:t>
            </w:r>
            <w:r>
              <w:rPr>
                <w:rFonts w:ascii="Arial" w:hAnsi="Arial" w:cs="Arial"/>
                <w:b/>
                <w:bCs/>
              </w:rPr>
            </w:r>
          </w:p>
        </w:tc>
        <w:tc>
          <w:tcPr>
            <w:tcBorders>
              <w:top w:val="single" w:color="000000" w:sz="4" w:space="0"/>
              <w:left w:val="single" w:color="000000" w:sz="4" w:space="0"/>
              <w:bottom w:val="single" w:color="000000" w:sz="4" w:space="0"/>
              <w:right w:val="single" w:color="000000" w:sz="4" w:space="0"/>
            </w:tcBorders>
            <w:tcW w:w="7012" w:type="dxa"/>
            <w:textDirection w:val="lrTb"/>
            <w:noWrap w:val="false"/>
          </w:tcPr>
          <w:p w14:paraId="20078B85" w14:textId="77777777">
            <w:pPr>
              <w:pBdr/>
              <w:spacing/>
              <w:ind/>
              <w:rPr>
                <w:rFonts w:ascii="Arial" w:hAnsi="Arial" w:cs="Arial"/>
              </w:rPr>
            </w:pPr>
            <w:r>
              <w:rPr>
                <w:rFonts w:ascii="Arial" w:hAnsi="Arial" w:cs="Arial"/>
              </w:rPr>
              <w:t xml:space="preserve">3.3.90.32 - Material, Bem ou Serviço para Distribuição Gratuita</w:t>
            </w:r>
            <w:r>
              <w:rPr>
                <w:rFonts w:ascii="Arial" w:hAnsi="Arial" w:cs="Arial"/>
              </w:rPr>
            </w:r>
          </w:p>
        </w:tc>
      </w:tr>
      <w:tr>
        <w:trPr>
          <w:trHeight w:val="150"/>
        </w:trPr>
        <w:tc>
          <w:tcPr>
            <w:tcBorders>
              <w:top w:val="single" w:color="000000" w:sz="4" w:space="0"/>
              <w:left w:val="single" w:color="000000" w:sz="4" w:space="0"/>
              <w:bottom w:val="single" w:color="000000" w:sz="4" w:space="0"/>
              <w:right w:val="single" w:color="000000" w:sz="4" w:space="0"/>
            </w:tcBorders>
            <w:tcW w:w="3063" w:type="dxa"/>
            <w:textDirection w:val="lrTb"/>
            <w:noWrap w:val="false"/>
          </w:tcPr>
          <w:p w14:paraId="3E3CB1F7" w14:textId="77777777">
            <w:pPr>
              <w:pBdr/>
              <w:spacing/>
              <w:ind/>
              <w:rPr>
                <w:rFonts w:ascii="Arial" w:hAnsi="Arial" w:cs="Arial"/>
                <w:b/>
                <w:bCs/>
              </w:rPr>
            </w:pPr>
            <w:r>
              <w:rPr>
                <w:rFonts w:ascii="Arial" w:hAnsi="Arial" w:cs="Arial"/>
                <w:b/>
                <w:bCs/>
              </w:rPr>
              <w:t xml:space="preserve">Previsão da despesa</w:t>
            </w:r>
            <w:r>
              <w:rPr>
                <w:rFonts w:ascii="Arial" w:hAnsi="Arial" w:cs="Arial"/>
                <w:b/>
                <w:bCs/>
              </w:rPr>
            </w:r>
          </w:p>
        </w:tc>
        <w:tc>
          <w:tcPr>
            <w:tcBorders>
              <w:top w:val="single" w:color="000000" w:sz="4" w:space="0"/>
              <w:left w:val="single" w:color="000000" w:sz="4" w:space="0"/>
              <w:bottom w:val="single" w:color="000000" w:sz="4" w:space="0"/>
              <w:right w:val="single" w:color="000000" w:sz="4" w:space="0"/>
            </w:tcBorders>
            <w:tcW w:w="7012" w:type="dxa"/>
            <w:textDirection w:val="lrTb"/>
            <w:noWrap w:val="false"/>
          </w:tcPr>
          <w:p w14:paraId="39842686" w14:textId="77777777">
            <w:pPr>
              <w:pBdr/>
              <w:spacing/>
              <w:ind/>
              <w:rPr>
                <w:rFonts w:ascii="Arial" w:hAnsi="Arial" w:cs="Arial"/>
                <w:b/>
                <w:bCs/>
              </w:rPr>
            </w:pPr>
            <w:r>
              <w:rPr>
                <w:rFonts w:ascii="Arial" w:hAnsi="Arial" w:cs="Arial"/>
                <w:b/>
                <w:bCs/>
              </w:rPr>
              <w:t xml:space="preserve">R$ 2.317.500,00</w:t>
            </w:r>
            <w:r>
              <w:rPr>
                <w:rFonts w:ascii="Arial" w:hAnsi="Arial" w:cs="Arial"/>
                <w:b/>
                <w:bCs/>
              </w:rPr>
            </w:r>
          </w:p>
        </w:tc>
      </w:tr>
      <w:tr>
        <w:trPr>
          <w:trHeight w:val="150"/>
        </w:trPr>
        <w:tc>
          <w:tcPr>
            <w:tcBorders>
              <w:top w:val="single" w:color="000000" w:sz="4" w:space="0"/>
              <w:left w:val="single" w:color="000000" w:sz="4" w:space="0"/>
              <w:bottom w:val="single" w:color="000000" w:sz="4" w:space="0"/>
              <w:right w:val="single" w:color="000000" w:sz="4" w:space="0"/>
            </w:tcBorders>
            <w:tcW w:w="3063" w:type="dxa"/>
            <w:textDirection w:val="lrTb"/>
            <w:noWrap w:val="false"/>
          </w:tcPr>
          <w:p w14:paraId="6C1B6D69" w14:textId="77777777">
            <w:pPr>
              <w:pBdr/>
              <w:spacing/>
              <w:ind/>
              <w:rPr>
                <w:rFonts w:ascii="Arial" w:hAnsi="Arial" w:cs="Arial"/>
                <w:b/>
                <w:bCs/>
              </w:rPr>
            </w:pPr>
            <w:r>
              <w:rPr>
                <w:rFonts w:ascii="Arial" w:hAnsi="Arial" w:cs="Arial"/>
                <w:b/>
                <w:bCs/>
              </w:rPr>
              <w:t xml:space="preserve">Dotação</w:t>
            </w:r>
            <w:r>
              <w:rPr>
                <w:rFonts w:ascii="Arial" w:hAnsi="Arial" w:cs="Arial"/>
                <w:b/>
                <w:bCs/>
              </w:rPr>
            </w:r>
          </w:p>
        </w:tc>
        <w:tc>
          <w:tcPr>
            <w:tcBorders>
              <w:top w:val="single" w:color="000000" w:sz="4" w:space="0"/>
              <w:left w:val="single" w:color="000000" w:sz="4" w:space="0"/>
              <w:bottom w:val="single" w:color="000000" w:sz="4" w:space="0"/>
              <w:right w:val="single" w:color="000000" w:sz="4" w:space="0"/>
            </w:tcBorders>
            <w:tcW w:w="7012" w:type="dxa"/>
            <w:textDirection w:val="lrTb"/>
            <w:noWrap w:val="false"/>
          </w:tcPr>
          <w:p w14:paraId="73413580" w14:textId="77777777">
            <w:pPr>
              <w:pBdr/>
              <w:spacing/>
              <w:ind/>
              <w:rPr>
                <w:rFonts w:ascii="Arial" w:hAnsi="Arial" w:cs="Arial"/>
                <w:b/>
                <w:bCs/>
              </w:rPr>
            </w:pPr>
            <w:r>
              <w:rPr>
                <w:rFonts w:ascii="Arial" w:hAnsi="Arial" w:cs="Arial"/>
                <w:b/>
                <w:bCs/>
              </w:rPr>
              <w:t xml:space="preserve">395</w:t>
            </w:r>
            <w:r>
              <w:rPr>
                <w:rFonts w:ascii="Arial" w:hAnsi="Arial" w:cs="Arial"/>
                <w:b/>
                <w:bCs/>
              </w:rPr>
            </w:r>
          </w:p>
        </w:tc>
      </w:tr>
      <w:tr>
        <w:trPr>
          <w:trHeight w:val="222"/>
        </w:trPr>
        <w:tc>
          <w:tcPr>
            <w:tcBorders>
              <w:top w:val="single" w:color="000000" w:sz="4" w:space="0"/>
              <w:left w:val="single" w:color="000000" w:sz="4" w:space="0"/>
              <w:bottom w:val="single" w:color="000000" w:sz="4" w:space="0"/>
              <w:right w:val="single" w:color="000000" w:sz="4" w:space="0"/>
            </w:tcBorders>
            <w:tcW w:w="3063" w:type="dxa"/>
            <w:textDirection w:val="lrTb"/>
            <w:noWrap w:val="false"/>
          </w:tcPr>
          <w:p w14:paraId="67AA3909" w14:textId="77777777">
            <w:pPr>
              <w:pBdr/>
              <w:spacing/>
              <w:ind/>
              <w:rPr>
                <w:rFonts w:ascii="Arial" w:hAnsi="Arial" w:cs="Arial"/>
                <w:b/>
                <w:bCs/>
              </w:rPr>
            </w:pPr>
            <w:r>
              <w:rPr>
                <w:rFonts w:ascii="Arial" w:hAnsi="Arial" w:cs="Arial"/>
                <w:b/>
                <w:bCs/>
              </w:rPr>
              <w:t xml:space="preserve">Fonte de Recursos</w:t>
            </w:r>
            <w:r>
              <w:rPr>
                <w:rFonts w:ascii="Arial" w:hAnsi="Arial" w:cs="Arial"/>
                <w:b/>
                <w:bCs/>
              </w:rPr>
            </w:r>
          </w:p>
        </w:tc>
        <w:tc>
          <w:tcPr>
            <w:tcBorders>
              <w:top w:val="single" w:color="000000" w:sz="4" w:space="0"/>
              <w:left w:val="single" w:color="000000" w:sz="4" w:space="0"/>
              <w:bottom w:val="single" w:color="000000" w:sz="4" w:space="0"/>
              <w:right w:val="single" w:color="000000" w:sz="4" w:space="0"/>
            </w:tcBorders>
            <w:tcW w:w="7012" w:type="dxa"/>
            <w:textDirection w:val="lrTb"/>
            <w:noWrap w:val="false"/>
          </w:tcPr>
          <w:p w14:paraId="085AFBD2" w14:textId="77777777">
            <w:pPr>
              <w:pBdr/>
              <w:spacing/>
              <w:ind/>
              <w:rPr>
                <w:rFonts w:ascii="Arial" w:hAnsi="Arial" w:cs="Arial"/>
                <w:b/>
                <w:bCs/>
              </w:rPr>
            </w:pPr>
            <w:r>
              <w:rPr>
                <w:rFonts w:ascii="Arial" w:hAnsi="Arial" w:cs="Arial"/>
                <w:b/>
                <w:bCs/>
              </w:rPr>
              <w:t xml:space="preserve">1.661.0000000 </w:t>
            </w:r>
            <w:r>
              <w:rPr>
                <w:rFonts w:ascii="Arial" w:hAnsi="Arial" w:cs="Arial"/>
                <w:b/>
                <w:bCs/>
              </w:rPr>
            </w:r>
          </w:p>
        </w:tc>
      </w:tr>
    </w:tbl>
    <w:p w14:paraId="05CC401B" w14:textId="77777777">
      <w:pPr>
        <w:pBdr/>
        <w:spacing w:line="360" w:lineRule="auto"/>
        <w:ind/>
        <w:jc w:val="both"/>
        <w:rPr>
          <w:rFonts w:ascii="Arial" w:hAnsi="Arial" w:cs="Arial"/>
        </w:rPr>
      </w:pPr>
      <w:r>
        <w:rPr>
          <w:rFonts w:ascii="Arial" w:hAnsi="Arial" w:cs="Arial"/>
        </w:rPr>
        <w:t xml:space="preserve">14.3. Os recursos para custeio da aquisição do objeto contratado estão previstos na Lei de Diretrizes Orçamentárias e Plano Plurianual.</w:t>
      </w:r>
      <w:r>
        <w:rPr>
          <w:rFonts w:ascii="Arial" w:hAnsi="Arial" w:cs="Arial"/>
        </w:rPr>
      </w:r>
    </w:p>
    <w:p w14:paraId="07C4097A" w14:textId="77777777">
      <w:pPr>
        <w:pBdr/>
        <w:spacing w:line="360" w:lineRule="auto"/>
        <w:ind/>
        <w:jc w:val="both"/>
        <w:rPr>
          <w:rFonts w:ascii="Arial" w:hAnsi="Arial" w:cs="Arial"/>
        </w:rPr>
      </w:pPr>
      <w:r>
        <w:rPr>
          <w:rFonts w:ascii="Arial" w:hAnsi="Arial" w:cs="Arial"/>
        </w:rPr>
        <w:t xml:space="preserve">14.4. A dotação relativa aos exercícios financeiros subsequentes será indicada após aprovação da Lei Orçamentária respectiva e liberação dos créditos correspondentes, mediante apostilamento.</w:t>
      </w:r>
      <w:r>
        <w:rPr>
          <w:rFonts w:ascii="Arial" w:hAnsi="Arial" w:cs="Arial"/>
        </w:rPr>
      </w:r>
    </w:p>
    <w:tbl>
      <w:tblPr>
        <w:tblInd w:w="82" w:type="dxa"/>
        <w:tblW w:w="10140" w:type="dxa"/>
        <w:tblBorders/>
        <w:tblLayout w:type="fixed"/>
        <w:tblLook w:val="0000" w:firstRow="0" w:lastRow="0" w:firstColumn="0" w:lastColumn="0" w:noHBand="0" w:noVBand="0"/>
      </w:tblPr>
      <w:tblGrid>
        <w:gridCol w:w="10140"/>
      </w:tblGrid>
      <w:tr>
        <w:trPr>
          <w:trHeight w:val="290"/>
        </w:trPr>
        <w:tc>
          <w:tcPr>
            <w:shd w:val="clear" w:color="auto" w:fill="dddddd"/>
            <w:tcBorders>
              <w:top w:val="single" w:color="000000" w:sz="4" w:space="0"/>
              <w:left w:val="single" w:color="000000" w:sz="4" w:space="0"/>
              <w:bottom w:val="single" w:color="000000" w:sz="4" w:space="0"/>
              <w:right w:val="single" w:color="000000" w:sz="4" w:space="0"/>
            </w:tcBorders>
            <w:tcW w:w="10140" w:type="dxa"/>
            <w:textDirection w:val="lrTb"/>
            <w:noWrap w:val="false"/>
          </w:tcPr>
          <w:p w14:paraId="06AC539B" w14:textId="77777777">
            <w:pPr>
              <w:widowControl w:val="false"/>
              <w:pBdr/>
              <w:spacing/>
              <w:ind w:right="89" w:left="-89"/>
              <w:jc w:val="center"/>
              <w:rPr>
                <w:rFonts w:ascii="Arial" w:hAnsi="Arial" w:cs="Arial"/>
              </w:rPr>
            </w:pPr>
            <w:r>
              <w:rPr>
                <w:rFonts w:ascii="Arial" w:hAnsi="Arial" w:cs="Arial"/>
                <w:b/>
                <w:bCs/>
              </w:rPr>
              <w:t xml:space="preserve">15. INDICAÇÃO DOS LOCAIS DE ENTREGA  –Art. 140 da Lei nº 14.133/2021</w:t>
            </w:r>
            <w:r>
              <w:rPr>
                <w:rFonts w:ascii="Arial" w:hAnsi="Arial" w:cs="Arial"/>
              </w:rPr>
            </w:r>
          </w:p>
        </w:tc>
      </w:tr>
    </w:tbl>
    <w:p w14:paraId="3227DB9A" w14:textId="77777777">
      <w:pPr>
        <w:pStyle w:val="896"/>
        <w:pBdr/>
        <w:spacing w:after="0" w:line="360" w:lineRule="auto"/>
        <w:ind/>
        <w:jc w:val="both"/>
        <w:rPr>
          <w:rFonts w:ascii="Arial" w:hAnsi="Arial" w:cs="Arial"/>
          <w:lang w:eastAsia="zh-CN"/>
        </w:rPr>
      </w:pPr>
      <w:r>
        <w:rPr>
          <w:rFonts w:ascii="Arial" w:hAnsi="Arial" w:cs="Arial"/>
          <w:lang w:eastAsia="zh-CN"/>
        </w:rPr>
        <w:t xml:space="preserve">15.1. Os cartões magnéticos, com crédito pré-carregado de</w:t>
      </w:r>
      <w:r>
        <w:rPr>
          <w:rFonts w:ascii="Arial" w:hAnsi="Arial" w:cs="Arial"/>
        </w:rPr>
        <w:t xml:space="preserve"> R$ 750,00 (setecentos e cinquenta reais), </w:t>
      </w:r>
      <w:r>
        <w:rPr>
          <w:rFonts w:ascii="Arial" w:hAnsi="Arial" w:cs="Arial"/>
          <w:lang w:eastAsia="zh-CN"/>
        </w:rPr>
        <w:t xml:space="preserve">, deverão ser entregues em local designado pela Secretaria Municipal de Assistência Social de Rondonópolis-MT, podendo ser:</w:t>
      </w:r>
      <w:r>
        <w:rPr>
          <w:rFonts w:ascii="Arial" w:hAnsi="Arial" w:cs="Arial"/>
          <w:lang w:eastAsia="zh-CN"/>
        </w:rPr>
      </w:r>
    </w:p>
    <w:p w14:paraId="3E20827B" w14:textId="77777777">
      <w:pPr>
        <w:pStyle w:val="896"/>
        <w:pBdr/>
        <w:spacing w:after="0" w:line="360" w:lineRule="auto"/>
        <w:ind/>
        <w:jc w:val="both"/>
        <w:rPr>
          <w:rFonts w:ascii="Arial" w:hAnsi="Arial" w:cs="Arial"/>
          <w:lang w:eastAsia="zh-CN"/>
        </w:rPr>
      </w:pPr>
      <w:r>
        <w:rPr>
          <w:rFonts w:ascii="Arial" w:hAnsi="Arial" w:cs="Arial"/>
          <w:lang w:eastAsia="zh-CN"/>
        </w:rPr>
        <w:t xml:space="preserve">a) sede administrativa da Secretaria;</w:t>
      </w:r>
      <w:r>
        <w:rPr>
          <w:rFonts w:ascii="Arial" w:hAnsi="Arial" w:cs="Arial"/>
          <w:lang w:eastAsia="zh-CN"/>
        </w:rPr>
      </w:r>
    </w:p>
    <w:p w14:paraId="003A72DE" w14:textId="77777777">
      <w:pPr>
        <w:pStyle w:val="896"/>
        <w:pBdr/>
        <w:spacing w:after="0" w:line="360" w:lineRule="auto"/>
        <w:ind/>
        <w:jc w:val="both"/>
        <w:rPr>
          <w:rFonts w:ascii="Arial" w:hAnsi="Arial" w:cs="Arial"/>
          <w:lang w:eastAsia="zh-CN"/>
        </w:rPr>
      </w:pPr>
      <w:r>
        <w:rPr>
          <w:rFonts w:ascii="Arial" w:hAnsi="Arial" w:cs="Arial"/>
          <w:lang w:eastAsia="zh-CN"/>
        </w:rPr>
        <w:t xml:space="preserve">b) unidades do CRAS;</w:t>
      </w:r>
      <w:r>
        <w:rPr>
          <w:rFonts w:ascii="Arial" w:hAnsi="Arial" w:cs="Arial"/>
          <w:lang w:eastAsia="zh-CN"/>
        </w:rPr>
      </w:r>
    </w:p>
    <w:p w14:paraId="5D555B61" w14:textId="77777777">
      <w:pPr>
        <w:pStyle w:val="896"/>
        <w:pBdr/>
        <w:spacing w:after="0" w:line="360" w:lineRule="auto"/>
        <w:ind/>
        <w:jc w:val="both"/>
        <w:rPr>
          <w:rFonts w:ascii="Arial" w:hAnsi="Arial" w:cs="Arial"/>
          <w:lang w:eastAsia="zh-CN"/>
        </w:rPr>
      </w:pPr>
      <w:r>
        <w:rPr>
          <w:rFonts w:ascii="Arial" w:hAnsi="Arial" w:cs="Arial"/>
          <w:lang w:eastAsia="zh-CN"/>
        </w:rPr>
        <w:t xml:space="preserve">c) outro endereço indicado na solicitação.</w:t>
      </w:r>
      <w:r>
        <w:rPr>
          <w:rFonts w:ascii="Arial" w:hAnsi="Arial" w:cs="Arial"/>
          <w:lang w:eastAsia="zh-CN"/>
        </w:rPr>
      </w:r>
    </w:p>
    <w:p w14:paraId="2E9F82F0" w14:textId="77777777">
      <w:pPr>
        <w:pStyle w:val="896"/>
        <w:pBdr/>
        <w:spacing w:after="0" w:line="360" w:lineRule="auto"/>
        <w:ind/>
        <w:jc w:val="both"/>
        <w:rPr>
          <w:rFonts w:ascii="Arial" w:hAnsi="Arial" w:cs="Arial"/>
          <w:lang w:eastAsia="zh-CN"/>
        </w:rPr>
      </w:pPr>
      <w:r>
        <w:rPr>
          <w:rFonts w:ascii="Arial" w:hAnsi="Arial" w:cs="Arial"/>
          <w:lang w:eastAsia="zh-CN"/>
        </w:rPr>
        <w:t xml:space="preserve">15.2. Recebimento Provisório. Será realizado no ato da entrega física, mediante conferência documental e quantita</w:t>
      </w:r>
      <w:r>
        <w:rPr>
          <w:rFonts w:ascii="Arial" w:hAnsi="Arial" w:cs="Arial"/>
          <w:lang w:eastAsia="zh-CN"/>
        </w:rPr>
        <w:t xml:space="preserve">tiva por servidor designado, com registro em nota fiscal ou documento equivalente. Os cartões deverão estar em perfeitas condições físicas e funcionais, lacrados, personalizados (quando aplicável), com crédito ativado e vinculados ao sistema da contratada.</w:t>
      </w:r>
      <w:r>
        <w:rPr>
          <w:rFonts w:ascii="Arial" w:hAnsi="Arial" w:cs="Arial"/>
          <w:lang w:eastAsia="zh-CN"/>
        </w:rPr>
      </w:r>
    </w:p>
    <w:p w14:paraId="386F0C3A" w14:textId="77777777">
      <w:pPr>
        <w:pStyle w:val="896"/>
        <w:pBdr/>
        <w:spacing w:after="0" w:line="360" w:lineRule="auto"/>
        <w:ind/>
        <w:jc w:val="both"/>
        <w:rPr>
          <w:rFonts w:ascii="Arial" w:hAnsi="Arial" w:cs="Arial"/>
          <w:lang w:eastAsia="zh-CN"/>
        </w:rPr>
      </w:pPr>
      <w:r>
        <w:rPr>
          <w:rFonts w:ascii="Arial" w:hAnsi="Arial" w:cs="Arial"/>
          <w:lang w:eastAsia="zh-CN"/>
        </w:rPr>
        <w:t xml:space="preserve">15.3. Recebimento Definitivo. Será efetuado em até 5 (cinco) dias úteis após o recebimento provisório, mediante conferência técnica e funcional, verificando-se:</w:t>
      </w:r>
      <w:r>
        <w:rPr>
          <w:rFonts w:ascii="Arial" w:hAnsi="Arial" w:cs="Arial"/>
          <w:lang w:eastAsia="zh-CN"/>
        </w:rPr>
      </w:r>
    </w:p>
    <w:p w14:paraId="1734DB26" w14:textId="77777777">
      <w:pPr>
        <w:pStyle w:val="896"/>
        <w:pBdr/>
        <w:spacing w:after="0" w:line="360" w:lineRule="auto"/>
        <w:ind/>
        <w:jc w:val="both"/>
        <w:rPr>
          <w:rFonts w:ascii="Arial" w:hAnsi="Arial" w:cs="Arial"/>
          <w:lang w:eastAsia="zh-CN"/>
        </w:rPr>
      </w:pPr>
      <w:r>
        <w:rPr>
          <w:rFonts w:ascii="Arial" w:hAnsi="Arial" w:cs="Arial"/>
          <w:lang w:eastAsia="zh-CN"/>
        </w:rPr>
        <w:t xml:space="preserve">I – funcionalidade do cartão;</w:t>
      </w:r>
      <w:r>
        <w:rPr>
          <w:rFonts w:ascii="Arial" w:hAnsi="Arial" w:cs="Arial"/>
          <w:lang w:eastAsia="zh-CN"/>
        </w:rPr>
      </w:r>
    </w:p>
    <w:p w14:paraId="61C7FE9E" w14:textId="77777777">
      <w:pPr>
        <w:pStyle w:val="896"/>
        <w:pBdr/>
        <w:spacing w:after="0" w:line="360" w:lineRule="auto"/>
        <w:ind/>
        <w:jc w:val="both"/>
        <w:rPr>
          <w:rFonts w:ascii="Arial" w:hAnsi="Arial" w:cs="Arial"/>
          <w:lang w:eastAsia="zh-CN"/>
        </w:rPr>
      </w:pPr>
      <w:r>
        <w:rPr>
          <w:rFonts w:ascii="Arial" w:hAnsi="Arial" w:cs="Arial"/>
          <w:lang w:eastAsia="zh-CN"/>
        </w:rPr>
        <w:t xml:space="preserve">II – integridade física;</w:t>
      </w:r>
      <w:r>
        <w:rPr>
          <w:rFonts w:ascii="Arial" w:hAnsi="Arial" w:cs="Arial"/>
          <w:lang w:eastAsia="zh-CN"/>
        </w:rPr>
      </w:r>
    </w:p>
    <w:p w14:paraId="507FEDFB" w14:textId="77777777">
      <w:pPr>
        <w:pStyle w:val="896"/>
        <w:pBdr/>
        <w:spacing w:after="0" w:line="360" w:lineRule="auto"/>
        <w:ind/>
        <w:jc w:val="both"/>
        <w:rPr>
          <w:rFonts w:ascii="Arial" w:hAnsi="Arial" w:cs="Arial"/>
          <w:lang w:eastAsia="zh-CN"/>
        </w:rPr>
      </w:pPr>
      <w:r>
        <w:rPr>
          <w:rFonts w:ascii="Arial" w:hAnsi="Arial" w:cs="Arial"/>
          <w:lang w:eastAsia="zh-CN"/>
        </w:rPr>
        <w:t xml:space="preserve">III – correspondência com a solicitação.</w:t>
      </w:r>
      <w:r>
        <w:rPr>
          <w:rFonts w:ascii="Arial" w:hAnsi="Arial" w:cs="Arial"/>
          <w:lang w:eastAsia="zh-CN"/>
        </w:rPr>
      </w:r>
    </w:p>
    <w:p w14:paraId="56D99651" w14:textId="77777777">
      <w:pPr>
        <w:pStyle w:val="896"/>
        <w:pBdr/>
        <w:spacing w:after="0" w:line="360" w:lineRule="auto"/>
        <w:ind/>
        <w:jc w:val="both"/>
        <w:rPr>
          <w:rFonts w:ascii="Arial" w:hAnsi="Arial" w:cs="Arial"/>
          <w:lang w:eastAsia="zh-CN"/>
        </w:rPr>
      </w:pPr>
      <w:r>
        <w:rPr>
          <w:rFonts w:ascii="Arial" w:hAnsi="Arial" w:cs="Arial"/>
          <w:lang w:eastAsia="zh-CN"/>
        </w:rPr>
        <w:t xml:space="preserve">Não havendo irregularidades, será lavrado Termo de Recebimento Definitivo, após o qual será autorizado o pagamento.</w:t>
      </w:r>
      <w:r>
        <w:rPr>
          <w:rFonts w:ascii="Arial" w:hAnsi="Arial" w:cs="Arial"/>
          <w:lang w:eastAsia="zh-CN"/>
        </w:rPr>
      </w:r>
    </w:p>
    <w:p w14:paraId="74687CFC" w14:textId="77777777">
      <w:pPr>
        <w:pStyle w:val="896"/>
        <w:pBdr/>
        <w:spacing w:after="0" w:line="360" w:lineRule="auto"/>
        <w:ind/>
        <w:jc w:val="both"/>
        <w:rPr>
          <w:rFonts w:ascii="Arial" w:hAnsi="Arial" w:cs="Arial"/>
          <w:lang w:eastAsia="zh-CN"/>
        </w:rPr>
      </w:pPr>
      <w:r>
        <w:rPr>
          <w:rFonts w:ascii="Arial" w:hAnsi="Arial" w:cs="Arial"/>
          <w:lang w:eastAsia="zh-CN"/>
        </w:rPr>
        <w:t xml:space="preserve">15.4. Rejeição. A Administração poderá rejeitar, total ou parcialmente, os cartões que estejam inativos, em valor divergente, danificados ou em desacordo com a lista de </w:t>
      </w:r>
      <w:r>
        <w:rPr>
          <w:rFonts w:ascii="Arial" w:hAnsi="Arial" w:cs="Arial"/>
          <w:lang w:eastAsia="zh-CN"/>
        </w:rPr>
        <w:t xml:space="preserve">beneficiários. A contratada deverá substituir ou regularizar os itens rejeitados em até 5 (cinco) dias úteis, sob pena de sanções. Em caso de controvérsia, aplicar-se-á o art. 143 da Lei nº 14.133/2021, permitindo o pagamento apenas da parte incontroversa.</w:t>
      </w:r>
      <w:r>
        <w:rPr>
          <w:rFonts w:ascii="Arial" w:hAnsi="Arial" w:cs="Arial"/>
          <w:lang w:eastAsia="zh-CN"/>
        </w:rPr>
      </w:r>
    </w:p>
    <w:p w14:paraId="678FCE66" w14:textId="77777777">
      <w:pPr>
        <w:pStyle w:val="896"/>
        <w:pBdr/>
        <w:spacing w:after="0" w:line="360" w:lineRule="auto"/>
        <w:ind/>
        <w:jc w:val="both"/>
        <w:rPr>
          <w:rFonts w:ascii="Arial" w:hAnsi="Arial" w:cs="Arial"/>
          <w:lang w:eastAsia="zh-CN"/>
        </w:rPr>
      </w:pPr>
      <w:r>
        <w:rPr>
          <w:rFonts w:ascii="Arial" w:hAnsi="Arial" w:cs="Arial"/>
          <w:lang w:eastAsia="zh-CN"/>
        </w:rPr>
        <w:t xml:space="preserve">15.5. Dis</w:t>
      </w:r>
      <w:r>
        <w:rPr>
          <w:rFonts w:ascii="Arial" w:hAnsi="Arial" w:cs="Arial"/>
          <w:lang w:eastAsia="zh-CN"/>
        </w:rPr>
        <w:t xml:space="preserve">posições Finais. O prazo de regularização não será computado para o recebimento definitivo. Este não exime a contratada de suas responsabilidades civis e contratuais, inclusive quanto à segurança, rastreabilidade, conformidade técnica e suporte ao usuário.</w:t>
      </w:r>
      <w:r>
        <w:rPr>
          <w:rFonts w:ascii="Arial" w:hAnsi="Arial" w:cs="Arial"/>
          <w:lang w:eastAsia="zh-CN"/>
        </w:rPr>
      </w:r>
    </w:p>
    <w:tbl>
      <w:tblPr>
        <w:tblInd w:w="128" w:type="dxa"/>
        <w:tblW w:w="10468" w:type="dxa"/>
        <w:tblBorders/>
        <w:tblLayout w:type="fixed"/>
        <w:tblLook w:val="0000" w:firstRow="0" w:lastRow="0" w:firstColumn="0" w:lastColumn="0" w:noHBand="0" w:noVBand="0"/>
      </w:tblPr>
      <w:tblGrid>
        <w:gridCol w:w="10468"/>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468" w:type="dxa"/>
            <w:textDirection w:val="lrTb"/>
            <w:noWrap w:val="false"/>
          </w:tcPr>
          <w:p w14:paraId="12EE0CD4" w14:textId="77777777">
            <w:pPr>
              <w:widowControl w:val="false"/>
              <w:pBdr/>
              <w:spacing/>
              <w:ind w:left="-89"/>
              <w:rPr>
                <w:rFonts w:ascii="Arial" w:hAnsi="Arial" w:cs="Arial"/>
              </w:rPr>
            </w:pPr>
            <w:r>
              <w:rPr>
                <w:rFonts w:ascii="Arial" w:hAnsi="Arial" w:cs="Arial"/>
                <w:b/>
                <w:bCs/>
              </w:rPr>
              <w:t xml:space="preserve">16. DA GARANTIA – Art. 23, XIII do Decreto Municipal 11.685/2023 e Art. 140, § 1º, III, da Lei 14.133/2021</w:t>
            </w:r>
            <w:r>
              <w:rPr>
                <w:rFonts w:ascii="Arial" w:hAnsi="Arial" w:cs="Arial"/>
              </w:rPr>
            </w:r>
          </w:p>
        </w:tc>
      </w:tr>
    </w:tbl>
    <w:p w14:paraId="24731098" w14:textId="77777777">
      <w:pPr>
        <w:pBdr/>
        <w:spacing w:line="360" w:lineRule="auto"/>
        <w:ind/>
        <w:jc w:val="both"/>
        <w:rPr>
          <w:rFonts w:ascii="Arial" w:hAnsi="Arial" w:cs="Arial"/>
        </w:rPr>
      </w:pPr>
      <w:r>
        <w:rPr>
          <w:rFonts w:ascii="Arial" w:hAnsi="Arial" w:cs="Arial"/>
        </w:rPr>
        <w:t xml:space="preserve">16.1. Não haverá exigência da garantia da contratação dos artigos 96 e seguintes da Lei nº 14.133, de 2021, pelas razões constantes do Estudo Técnico Preliminar.</w:t>
      </w:r>
      <w:r>
        <w:rPr>
          <w:rFonts w:ascii="Arial" w:hAnsi="Arial" w:cs="Arial"/>
        </w:rPr>
      </w:r>
    </w:p>
    <w:tbl>
      <w:tblPr>
        <w:tblInd w:w="115" w:type="dxa"/>
        <w:tblW w:w="10496" w:type="dxa"/>
        <w:tblBorders/>
        <w:tblLayout w:type="fixed"/>
        <w:tblLook w:val="0000" w:firstRow="0" w:lastRow="0" w:firstColumn="0" w:lastColumn="0" w:noHBand="0" w:noVBand="0"/>
      </w:tblPr>
      <w:tblGrid>
        <w:gridCol w:w="10496"/>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496" w:type="dxa"/>
            <w:textDirection w:val="lrTb"/>
            <w:noWrap w:val="false"/>
          </w:tcPr>
          <w:p w14:paraId="6D505602" w14:textId="77777777">
            <w:pPr>
              <w:widowControl w:val="false"/>
              <w:pBdr/>
              <w:spacing/>
              <w:ind/>
              <w:rPr>
                <w:rFonts w:ascii="Arial" w:hAnsi="Arial" w:cs="Arial"/>
              </w:rPr>
            </w:pPr>
            <w:r>
              <w:rPr>
                <w:rFonts w:ascii="Arial" w:hAnsi="Arial" w:cs="Arial"/>
                <w:b/>
                <w:bCs/>
              </w:rPr>
              <w:t xml:space="preserve">17. AVALIAÇÃO DA NECESSIDADE DE INSERIR COMO OBRIGAÇÃO DO CONTRATO A EXECUÇÃO DE LOGÍSTICA REVERSA – Art. 23, XIV do Decreto Municipal 11.685/2023</w:t>
            </w:r>
            <w:r>
              <w:rPr>
                <w:rFonts w:ascii="Arial" w:hAnsi="Arial" w:cs="Arial"/>
              </w:rPr>
            </w:r>
          </w:p>
        </w:tc>
      </w:tr>
    </w:tbl>
    <w:p w14:paraId="315B1233" w14:textId="77777777">
      <w:pPr>
        <w:pBdr/>
        <w:spacing w:line="360" w:lineRule="auto"/>
        <w:ind/>
        <w:jc w:val="both"/>
        <w:rPr>
          <w:rFonts w:ascii="Arial" w:hAnsi="Arial" w:cs="Arial"/>
        </w:rPr>
      </w:pPr>
      <w:r>
        <w:rPr>
          <w:rFonts w:ascii="Arial" w:hAnsi="Arial" w:cs="Arial"/>
        </w:rPr>
        <w:t xml:space="preserve">17.1. Deve ser observados os critérios de sustentabilidade e as normativas vigentes quanto a produção, transporte e descarte de resíduos, quando for o caso.</w:t>
      </w:r>
      <w:r>
        <w:rPr>
          <w:rFonts w:ascii="Arial" w:hAnsi="Arial" w:cs="Arial"/>
        </w:rPr>
      </w:r>
    </w:p>
    <w:tbl>
      <w:tblPr>
        <w:tblInd w:w="90" w:type="dxa"/>
        <w:tblW w:w="10491" w:type="dxa"/>
        <w:tblBorders/>
        <w:tblLayout w:type="fixed"/>
        <w:tblLook w:val="0000" w:firstRow="0" w:lastRow="0" w:firstColumn="0" w:lastColumn="0" w:noHBand="0" w:noVBand="0"/>
      </w:tblPr>
      <w:tblGrid>
        <w:gridCol w:w="10491"/>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491" w:type="dxa"/>
            <w:textDirection w:val="lrTb"/>
            <w:noWrap w:val="false"/>
          </w:tcPr>
          <w:p w14:paraId="0DD5EF92" w14:textId="77777777">
            <w:pPr>
              <w:widowControl w:val="false"/>
              <w:pBdr/>
              <w:spacing/>
              <w:ind/>
              <w:jc w:val="center"/>
              <w:rPr>
                <w:rFonts w:ascii="Arial" w:hAnsi="Arial" w:cs="Arial"/>
              </w:rPr>
            </w:pPr>
            <w:r>
              <w:rPr>
                <w:rFonts w:ascii="Arial" w:hAnsi="Arial" w:cs="Arial"/>
                <w:b/>
                <w:bCs/>
              </w:rPr>
              <w:t xml:space="preserve">18. DAS AMOSTRAS – Art. 42, § 2º e 3º, da Lei nº 14.133/2021</w:t>
            </w:r>
            <w:r>
              <w:rPr>
                <w:rFonts w:ascii="Arial" w:hAnsi="Arial" w:cs="Arial"/>
              </w:rPr>
            </w:r>
          </w:p>
        </w:tc>
      </w:tr>
    </w:tbl>
    <w:p w14:paraId="36259ADF" w14:textId="77777777">
      <w:pPr>
        <w:pBdr/>
        <w:spacing w:line="360" w:lineRule="auto"/>
        <w:ind w:right="227"/>
        <w:jc w:val="both"/>
        <w:rPr>
          <w:rFonts w:ascii="Arial" w:hAnsi="Arial" w:cs="Arial"/>
        </w:rPr>
      </w:pPr>
      <w:r>
        <w:rPr>
          <w:rFonts w:ascii="Arial" w:hAnsi="Arial" w:cs="Arial"/>
        </w:rPr>
        <w:t xml:space="preserve">18.1. Não será exigido amostras.</w:t>
      </w:r>
      <w:r>
        <w:rPr>
          <w:rFonts w:ascii="Arial" w:hAnsi="Arial" w:cs="Arial"/>
        </w:rPr>
      </w:r>
    </w:p>
    <w:tbl>
      <w:tblPr>
        <w:tblInd w:w="78" w:type="dxa"/>
        <w:tblW w:w="10488" w:type="dxa"/>
        <w:tblBorders/>
        <w:tblLayout w:type="fixed"/>
        <w:tblLook w:val="0000" w:firstRow="0" w:lastRow="0" w:firstColumn="0" w:lastColumn="0" w:noHBand="0" w:noVBand="0"/>
      </w:tblPr>
      <w:tblGrid>
        <w:gridCol w:w="10488"/>
      </w:tblGrid>
      <w:tr>
        <w:trPr>
          <w:trHeight w:val="88"/>
        </w:trPr>
        <w:tc>
          <w:tcPr>
            <w:shd w:val="clear" w:color="auto" w:fill="dddddd"/>
            <w:tcBorders>
              <w:top w:val="single" w:color="000000" w:sz="4" w:space="0"/>
              <w:left w:val="single" w:color="000000" w:sz="4" w:space="0"/>
              <w:bottom w:val="single" w:color="000000" w:sz="4" w:space="0"/>
              <w:right w:val="single" w:color="000000" w:sz="4" w:space="0"/>
            </w:tcBorders>
            <w:tcW w:w="10488" w:type="dxa"/>
            <w:textDirection w:val="lrTb"/>
            <w:noWrap w:val="false"/>
          </w:tcPr>
          <w:p w14:paraId="5BB32252" w14:textId="77777777">
            <w:pPr>
              <w:widowControl w:val="false"/>
              <w:pBdr/>
              <w:spacing/>
              <w:ind/>
              <w:jc w:val="center"/>
              <w:rPr>
                <w:rFonts w:ascii="Arial" w:hAnsi="Arial" w:cs="Arial"/>
              </w:rPr>
            </w:pPr>
            <w:r>
              <w:rPr>
                <w:rFonts w:ascii="Arial" w:hAnsi="Arial" w:cs="Arial"/>
                <w:b/>
                <w:bCs/>
              </w:rPr>
              <w:t xml:space="preserve">19. DAS OBRIGAÇÕES DA CONTRATADA</w:t>
            </w:r>
            <w:r>
              <w:rPr>
                <w:rFonts w:ascii="Arial" w:hAnsi="Arial" w:cs="Arial"/>
              </w:rPr>
            </w:r>
          </w:p>
        </w:tc>
      </w:tr>
    </w:tbl>
    <w:p w14:paraId="4C5239FF" w14:textId="77777777">
      <w:pPr>
        <w:pStyle w:val="896"/>
        <w:pBdr/>
        <w:spacing w:after="0" w:line="360" w:lineRule="auto"/>
        <w:ind/>
        <w:jc w:val="both"/>
        <w:rPr>
          <w:rFonts w:ascii="Arial" w:hAnsi="Arial" w:cs="Arial"/>
        </w:rPr>
      </w:pPr>
      <w:r>
        <w:rPr>
          <w:rFonts w:ascii="Arial" w:hAnsi="Arial" w:cs="Arial"/>
        </w:rPr>
        <w:t xml:space="preserve">19.1. São obrigações da CONTRATADA:</w:t>
      </w:r>
      <w:r>
        <w:rPr>
          <w:rFonts w:ascii="Arial" w:hAnsi="Arial" w:cs="Arial"/>
        </w:rPr>
      </w:r>
    </w:p>
    <w:p w14:paraId="0987C64E" w14:textId="77777777">
      <w:pPr>
        <w:pStyle w:val="896"/>
        <w:pBdr/>
        <w:spacing w:after="0" w:line="360" w:lineRule="auto"/>
        <w:ind/>
        <w:jc w:val="both"/>
        <w:rPr>
          <w:rFonts w:ascii="Arial" w:hAnsi="Arial" w:cs="Arial"/>
        </w:rPr>
      </w:pPr>
      <w:r>
        <w:rPr>
          <w:rFonts w:ascii="Arial" w:hAnsi="Arial" w:cs="Arial"/>
        </w:rPr>
        <w:t xml:space="preserve">A empresa contratada, além de observar integralmente as condições estabelecidas no Edital, na Ata de Registro de Preços, neste Termo de Referência e na legislação aplicável, obriga-se a:</w:t>
      </w:r>
      <w:r>
        <w:rPr>
          <w:rFonts w:ascii="Arial" w:hAnsi="Arial" w:cs="Arial"/>
        </w:rPr>
      </w:r>
    </w:p>
    <w:p w14:paraId="38CF6093" w14:textId="77777777">
      <w:pPr>
        <w:pStyle w:val="896"/>
        <w:pBdr/>
        <w:spacing w:after="0" w:line="360" w:lineRule="auto"/>
        <w:ind/>
        <w:jc w:val="both"/>
        <w:rPr>
          <w:rFonts w:ascii="Arial" w:hAnsi="Arial" w:cs="Arial"/>
        </w:rPr>
      </w:pPr>
      <w:r>
        <w:rPr>
          <w:rFonts w:ascii="Arial" w:hAnsi="Arial" w:cs="Arial"/>
        </w:rPr>
        <w:t xml:space="preserve">19.1.1. Quanto à administração e fornecimento dos cartões:</w:t>
      </w:r>
      <w:r>
        <w:rPr>
          <w:rFonts w:ascii="Arial" w:hAnsi="Arial" w:cs="Arial"/>
        </w:rPr>
      </w:r>
    </w:p>
    <w:p w14:paraId="06B8B0C3" w14:textId="77777777">
      <w:pPr>
        <w:pStyle w:val="896"/>
        <w:pBdr/>
        <w:spacing w:after="0" w:line="360" w:lineRule="auto"/>
        <w:ind/>
        <w:jc w:val="both"/>
        <w:rPr>
          <w:rFonts w:ascii="Arial" w:hAnsi="Arial" w:cs="Arial"/>
        </w:rPr>
      </w:pPr>
      <w:r>
        <w:rPr>
          <w:rFonts w:ascii="Arial" w:hAnsi="Arial" w:cs="Arial"/>
        </w:rPr>
        <w:t xml:space="preserve">19.1.1.1. Fornecer, em tempo hábil, os cartões magnéticos físicos, novos, lacrados e em perfeitas condições de uso, com crédito </w:t>
      </w:r>
      <w:r>
        <w:rPr>
          <w:rFonts w:ascii="Arial" w:hAnsi="Arial" w:cs="Arial"/>
        </w:rPr>
        <w:t xml:space="preserve">pré-carregado no valor unitário de R$ 750,00 (setecentos e cinquenta reais), prontos para utilização no momento da entrega, conforme quantitativos, cronograma e locais definidos pela Secretaria Municipal de Promoção e Assistência Social de Rondonópolis-MT;</w:t>
      </w:r>
      <w:r>
        <w:rPr>
          <w:rFonts w:ascii="Arial" w:hAnsi="Arial" w:cs="Arial"/>
        </w:rPr>
      </w:r>
    </w:p>
    <w:p w14:paraId="7661D5A5" w14:textId="77777777">
      <w:pPr>
        <w:pStyle w:val="896"/>
        <w:pBdr/>
        <w:spacing w:after="0" w:line="360" w:lineRule="auto"/>
        <w:ind/>
        <w:jc w:val="both"/>
        <w:rPr>
          <w:rFonts w:ascii="Arial" w:hAnsi="Arial" w:cs="Arial"/>
        </w:rPr>
      </w:pPr>
      <w:r>
        <w:rPr>
          <w:rFonts w:ascii="Arial" w:hAnsi="Arial" w:cs="Arial"/>
        </w:rPr>
        <w:t xml:space="preserve">19.1.1.2. Garantir que os cartões estejam vinculados ao CPF dos beneficiários indicados pela Secretaria, conforme relação encaminhada pela Administração, observando a Lei nº 13.709/2018;</w:t>
      </w:r>
      <w:r>
        <w:rPr>
          <w:rFonts w:ascii="Arial" w:hAnsi="Arial" w:cs="Arial"/>
        </w:rPr>
      </w:r>
    </w:p>
    <w:p w14:paraId="224E0C9C" w14:textId="77777777">
      <w:pPr>
        <w:pStyle w:val="896"/>
        <w:pBdr/>
        <w:spacing w:after="0" w:line="360" w:lineRule="auto"/>
        <w:ind/>
        <w:jc w:val="both"/>
        <w:rPr>
          <w:rFonts w:ascii="Arial" w:hAnsi="Arial" w:cs="Arial"/>
        </w:rPr>
      </w:pPr>
      <w:r>
        <w:rPr>
          <w:rFonts w:ascii="Arial" w:hAnsi="Arial" w:cs="Arial"/>
        </w:rPr>
        <w:t xml:space="preserve">19.1.1.3. Disponibilizar plataforma web de gestão e acompanhamento com acesso exclusivo à Secretaria, contendo funcionalidades de rastreabilidade, status dos cartões, histórico de uso e emissão de relatórios administrativos e financeiros;</w:t>
      </w:r>
      <w:r>
        <w:rPr>
          <w:rFonts w:ascii="Arial" w:hAnsi="Arial" w:cs="Arial"/>
        </w:rPr>
      </w:r>
    </w:p>
    <w:p w14:paraId="27468547" w14:textId="77777777">
      <w:pPr>
        <w:pStyle w:val="896"/>
        <w:pBdr/>
        <w:spacing w:after="0" w:line="360" w:lineRule="auto"/>
        <w:ind/>
        <w:jc w:val="both"/>
        <w:rPr>
          <w:rFonts w:ascii="Arial" w:hAnsi="Arial" w:cs="Arial"/>
        </w:rPr>
      </w:pPr>
      <w:r>
        <w:rPr>
          <w:rFonts w:ascii="Arial" w:hAnsi="Arial" w:cs="Arial"/>
        </w:rPr>
        <w:t xml:space="preserve">19.1.1.4. Personalizar os cartões, quando solicitado, com o nome do benefício, logotipo institucional e número de identificação única, conforme padrão definido pela Administração;</w:t>
      </w:r>
      <w:r>
        <w:rPr>
          <w:rFonts w:ascii="Arial" w:hAnsi="Arial" w:cs="Arial"/>
        </w:rPr>
      </w:r>
    </w:p>
    <w:p w14:paraId="5773CF01" w14:textId="77777777">
      <w:pPr>
        <w:pStyle w:val="896"/>
        <w:pBdr/>
        <w:spacing w:after="0" w:line="360" w:lineRule="auto"/>
        <w:ind/>
        <w:jc w:val="both"/>
        <w:rPr>
          <w:rFonts w:ascii="Arial" w:hAnsi="Arial" w:cs="Arial"/>
        </w:rPr>
      </w:pPr>
      <w:r>
        <w:rPr>
          <w:rFonts w:ascii="Arial" w:hAnsi="Arial" w:cs="Arial"/>
        </w:rPr>
        <w:t xml:space="preserve">19.1.1.5. Assegurar validade mínima de 90 (noventa) dias a partir da data da entrega;</w:t>
      </w:r>
      <w:r>
        <w:rPr>
          <w:rFonts w:ascii="Arial" w:hAnsi="Arial" w:cs="Arial"/>
        </w:rPr>
      </w:r>
    </w:p>
    <w:p w14:paraId="10D94DE1" w14:textId="77777777">
      <w:pPr>
        <w:pStyle w:val="896"/>
        <w:pBdr/>
        <w:spacing w:after="0" w:line="360" w:lineRule="auto"/>
        <w:ind/>
        <w:jc w:val="both"/>
        <w:rPr>
          <w:rFonts w:ascii="Arial" w:hAnsi="Arial" w:cs="Arial"/>
        </w:rPr>
      </w:pPr>
      <w:r>
        <w:rPr>
          <w:rFonts w:ascii="Arial" w:hAnsi="Arial" w:cs="Arial"/>
        </w:rPr>
        <w:t xml:space="preserve">19.1.1.6. Garantir procedimento de bloqueio, substituição e reemissão em caso de perda, erro técnico ou extravio, no prazo máximo de 5 (cinco) dias úteis após notificação da Secretaria.</w:t>
      </w:r>
      <w:r>
        <w:rPr>
          <w:rFonts w:ascii="Arial" w:hAnsi="Arial" w:cs="Arial"/>
        </w:rPr>
      </w:r>
    </w:p>
    <w:p w14:paraId="7B8D7585" w14:textId="77777777">
      <w:pPr>
        <w:pStyle w:val="896"/>
        <w:pBdr/>
        <w:spacing w:after="0" w:line="360" w:lineRule="auto"/>
        <w:ind/>
        <w:jc w:val="both"/>
        <w:rPr>
          <w:rFonts w:ascii="Arial" w:hAnsi="Arial" w:cs="Arial"/>
        </w:rPr>
      </w:pPr>
      <w:r>
        <w:rPr>
          <w:rFonts w:ascii="Arial" w:hAnsi="Arial" w:cs="Arial"/>
        </w:rPr>
        <w:t xml:space="preserve">19.1.2. Quanto à rede credenciada:</w:t>
      </w:r>
      <w:r>
        <w:rPr>
          <w:rFonts w:ascii="Arial" w:hAnsi="Arial" w:cs="Arial"/>
        </w:rPr>
      </w:r>
    </w:p>
    <w:p w14:paraId="7CE265C6" w14:textId="77777777">
      <w:pPr>
        <w:pStyle w:val="896"/>
        <w:pBdr/>
        <w:spacing w:after="0" w:line="360" w:lineRule="auto"/>
        <w:ind/>
        <w:jc w:val="both"/>
        <w:rPr>
          <w:rFonts w:ascii="Arial" w:hAnsi="Arial" w:cs="Arial"/>
        </w:rPr>
      </w:pPr>
      <w:r>
        <w:rPr>
          <w:rFonts w:ascii="Arial" w:hAnsi="Arial" w:cs="Arial"/>
        </w:rPr>
        <w:t xml:space="preserve">19.1.2.1. Realizar o credenciamento de fornecedores do comércio local de Rondonópolis-MT, com atividades compatíveis com o objeto do benefício, garantindo variedade e acessibilidade territorial;</w:t>
      </w:r>
      <w:r>
        <w:rPr>
          <w:rFonts w:ascii="Arial" w:hAnsi="Arial" w:cs="Arial"/>
        </w:rPr>
      </w:r>
    </w:p>
    <w:p w14:paraId="146763E1" w14:textId="77777777">
      <w:pPr>
        <w:pStyle w:val="896"/>
        <w:pBdr/>
        <w:spacing w:after="0" w:line="360" w:lineRule="auto"/>
        <w:ind/>
        <w:jc w:val="both"/>
        <w:rPr>
          <w:rFonts w:ascii="Arial" w:hAnsi="Arial" w:cs="Arial"/>
        </w:rPr>
      </w:pPr>
      <w:r>
        <w:rPr>
          <w:rFonts w:ascii="Arial" w:hAnsi="Arial" w:cs="Arial"/>
        </w:rPr>
        <w:t xml:space="preserve">19.1.2.2. Formalizar instrumento contratual com os fornecedores credenciados, garantindo a aceitação dos cartões como forma de pagamento;</w:t>
      </w:r>
      <w:r>
        <w:rPr>
          <w:rFonts w:ascii="Arial" w:hAnsi="Arial" w:cs="Arial"/>
        </w:rPr>
      </w:r>
    </w:p>
    <w:p w14:paraId="5D6F6775" w14:textId="77777777">
      <w:pPr>
        <w:pStyle w:val="896"/>
        <w:pBdr/>
        <w:spacing w:after="0" w:line="360" w:lineRule="auto"/>
        <w:ind/>
        <w:jc w:val="both"/>
        <w:rPr>
          <w:rFonts w:ascii="Arial" w:hAnsi="Arial" w:cs="Arial"/>
        </w:rPr>
      </w:pPr>
      <w:r>
        <w:rPr>
          <w:rFonts w:ascii="Arial" w:hAnsi="Arial" w:cs="Arial"/>
        </w:rPr>
        <w:t xml:space="preserve">19.1.2.3. Informar à Secretaria a lista atualizada dos estabelecimentos credenciados, contendo nome, CNPJ, endereço e ramo de atividade;</w:t>
      </w:r>
      <w:r>
        <w:rPr>
          <w:rFonts w:ascii="Arial" w:hAnsi="Arial" w:cs="Arial"/>
        </w:rPr>
      </w:r>
    </w:p>
    <w:p w14:paraId="15E0E09A" w14:textId="77777777">
      <w:pPr>
        <w:pStyle w:val="896"/>
        <w:pBdr/>
        <w:spacing w:after="0" w:line="360" w:lineRule="auto"/>
        <w:ind/>
        <w:jc w:val="both"/>
        <w:rPr>
          <w:rFonts w:ascii="Arial" w:hAnsi="Arial" w:cs="Arial"/>
        </w:rPr>
      </w:pPr>
      <w:r>
        <w:rPr>
          <w:rFonts w:ascii="Arial" w:hAnsi="Arial" w:cs="Arial"/>
        </w:rPr>
        <w:t xml:space="preserve">19.1.2.4. Cobrar exclusivamente dos fornecedores a taxa administrativa pelo uso do sistema, vedada qualquer cobrança direta ao Município ou aos beneficiários.</w:t>
      </w:r>
      <w:r>
        <w:rPr>
          <w:rFonts w:ascii="Arial" w:hAnsi="Arial" w:cs="Arial"/>
        </w:rPr>
      </w:r>
    </w:p>
    <w:p w14:paraId="6F153967" w14:textId="77777777">
      <w:pPr>
        <w:pStyle w:val="896"/>
        <w:pBdr/>
        <w:spacing w:after="0" w:line="360" w:lineRule="auto"/>
        <w:ind/>
        <w:jc w:val="both"/>
        <w:rPr>
          <w:rFonts w:ascii="Arial" w:hAnsi="Arial" w:cs="Arial"/>
        </w:rPr>
      </w:pPr>
      <w:r>
        <w:rPr>
          <w:rFonts w:ascii="Arial" w:hAnsi="Arial" w:cs="Arial"/>
        </w:rPr>
        <w:t xml:space="preserve">19.1.3. Quanto ao suporte técnico e atendimento:</w:t>
      </w:r>
      <w:r>
        <w:rPr>
          <w:rFonts w:ascii="Arial" w:hAnsi="Arial" w:cs="Arial"/>
        </w:rPr>
      </w:r>
    </w:p>
    <w:p w14:paraId="1C480CDF" w14:textId="77777777">
      <w:pPr>
        <w:pStyle w:val="896"/>
        <w:pBdr/>
        <w:spacing w:after="0" w:line="360" w:lineRule="auto"/>
        <w:ind/>
        <w:jc w:val="both"/>
        <w:rPr>
          <w:rFonts w:ascii="Arial" w:hAnsi="Arial" w:cs="Arial"/>
        </w:rPr>
      </w:pPr>
      <w:r>
        <w:rPr>
          <w:rFonts w:ascii="Arial" w:hAnsi="Arial" w:cs="Arial"/>
        </w:rPr>
        <w:t xml:space="preserve">19.1.3.1. Disponibilizar canal de atendimento técnico gratuito (telefone, e-mail ou WhatsApp) para suporte à Secretaria e aos beneficiários, de segunda a sexta-feira, das 8h às 17h;</w:t>
      </w:r>
      <w:r>
        <w:rPr>
          <w:rFonts w:ascii="Arial" w:hAnsi="Arial" w:cs="Arial"/>
        </w:rPr>
      </w:r>
    </w:p>
    <w:p w14:paraId="13228295" w14:textId="77777777">
      <w:pPr>
        <w:pStyle w:val="896"/>
        <w:pBdr/>
        <w:spacing w:after="0" w:line="360" w:lineRule="auto"/>
        <w:ind/>
        <w:jc w:val="both"/>
        <w:rPr>
          <w:rFonts w:ascii="Arial" w:hAnsi="Arial" w:cs="Arial"/>
        </w:rPr>
      </w:pPr>
      <w:r>
        <w:rPr>
          <w:rFonts w:ascii="Arial" w:hAnsi="Arial" w:cs="Arial"/>
        </w:rPr>
        <w:t xml:space="preserve">19.1.3.2. Fornecer suporte operacional à fiscalização contratual, incluindo treinamento para uso do sistema e orientação quanto ao acompanhamento da execução;</w:t>
      </w:r>
      <w:r>
        <w:rPr>
          <w:rFonts w:ascii="Arial" w:hAnsi="Arial" w:cs="Arial"/>
        </w:rPr>
      </w:r>
    </w:p>
    <w:p w14:paraId="2DF8511E" w14:textId="77777777">
      <w:pPr>
        <w:pStyle w:val="896"/>
        <w:pBdr/>
        <w:spacing w:after="0" w:line="360" w:lineRule="auto"/>
        <w:ind/>
        <w:jc w:val="both"/>
        <w:rPr>
          <w:rFonts w:ascii="Arial" w:hAnsi="Arial" w:cs="Arial"/>
        </w:rPr>
      </w:pPr>
      <w:r>
        <w:rPr>
          <w:rFonts w:ascii="Arial" w:hAnsi="Arial" w:cs="Arial"/>
        </w:rPr>
        <w:t xml:space="preserve">19.1.3.3. Atender prontamente às notificações formais da Administração, prestando esclarecimentos ou adotando providências nos prazos estipulados.</w:t>
      </w:r>
      <w:r>
        <w:rPr>
          <w:rFonts w:ascii="Arial" w:hAnsi="Arial" w:cs="Arial"/>
        </w:rPr>
      </w:r>
    </w:p>
    <w:p w14:paraId="2A4CAE36" w14:textId="77777777">
      <w:pPr>
        <w:pStyle w:val="896"/>
        <w:pBdr/>
        <w:spacing w:after="0" w:line="360" w:lineRule="auto"/>
        <w:ind/>
        <w:jc w:val="both"/>
        <w:rPr>
          <w:rFonts w:ascii="Arial" w:hAnsi="Arial" w:cs="Arial"/>
        </w:rPr>
      </w:pPr>
      <w:r>
        <w:rPr>
          <w:rFonts w:ascii="Arial" w:hAnsi="Arial" w:cs="Arial"/>
        </w:rPr>
        <w:t xml:space="preserve">19.1.4. Quanto à conformidade legal e contratual:</w:t>
      </w:r>
      <w:r>
        <w:rPr>
          <w:rFonts w:ascii="Arial" w:hAnsi="Arial" w:cs="Arial"/>
        </w:rPr>
      </w:r>
    </w:p>
    <w:p w14:paraId="5AC41DF0" w14:textId="77777777">
      <w:pPr>
        <w:pStyle w:val="896"/>
        <w:pBdr/>
        <w:spacing w:after="0" w:line="360" w:lineRule="auto"/>
        <w:ind/>
        <w:jc w:val="both"/>
        <w:rPr>
          <w:rFonts w:ascii="Arial" w:hAnsi="Arial" w:cs="Arial"/>
        </w:rPr>
      </w:pPr>
      <w:r>
        <w:rPr>
          <w:rFonts w:ascii="Arial" w:hAnsi="Arial" w:cs="Arial"/>
        </w:rPr>
        <w:t xml:space="preserve">19.1.4.1. Manter, durante toda a vigência contratual, todas as condições de habilitação jurídica, fiscal, trabalhista e técnica exigidas para a contratação, nos termos da Lei nº 14.133/2021;</w:t>
      </w:r>
      <w:r>
        <w:rPr>
          <w:rFonts w:ascii="Arial" w:hAnsi="Arial" w:cs="Arial"/>
        </w:rPr>
      </w:r>
    </w:p>
    <w:p w14:paraId="30BD759A" w14:textId="77777777">
      <w:pPr>
        <w:pStyle w:val="896"/>
        <w:pBdr/>
        <w:spacing w:after="0" w:line="360" w:lineRule="auto"/>
        <w:ind/>
        <w:jc w:val="both"/>
        <w:rPr>
          <w:rFonts w:ascii="Arial" w:hAnsi="Arial" w:cs="Arial"/>
        </w:rPr>
      </w:pPr>
      <w:r>
        <w:rPr>
          <w:rFonts w:ascii="Arial" w:hAnsi="Arial" w:cs="Arial"/>
        </w:rPr>
        <w:t xml:space="preserve">19.1.4.2. Arcar integralmente com todas as despesas decorrentes da execução do objeto, inclusive custos operacionais, logísticos, de sistema, suporte técnico, reemissão e encargos trabalhistas, fiscais e previdenciários;</w:t>
      </w:r>
      <w:r>
        <w:rPr>
          <w:rFonts w:ascii="Arial" w:hAnsi="Arial" w:cs="Arial"/>
        </w:rPr>
      </w:r>
    </w:p>
    <w:p w14:paraId="6F55609F" w14:textId="77777777">
      <w:pPr>
        <w:pStyle w:val="896"/>
        <w:pBdr/>
        <w:spacing w:after="0" w:line="360" w:lineRule="auto"/>
        <w:ind/>
        <w:jc w:val="both"/>
        <w:rPr>
          <w:rFonts w:ascii="Arial" w:hAnsi="Arial" w:cs="Arial"/>
        </w:rPr>
      </w:pPr>
      <w:r>
        <w:rPr>
          <w:rFonts w:ascii="Arial" w:hAnsi="Arial" w:cs="Arial"/>
        </w:rPr>
        <w:t xml:space="preserve">19.1.4.3. Não divulgar, compartilhar ou utilizar indevidamente dados pessoais dos beneficiários, sob pena de responsabilização administrativa, civil e penal;</w:t>
      </w:r>
      <w:r>
        <w:rPr>
          <w:rFonts w:ascii="Arial" w:hAnsi="Arial" w:cs="Arial"/>
        </w:rPr>
      </w:r>
    </w:p>
    <w:p w14:paraId="39689F22" w14:textId="77777777">
      <w:pPr>
        <w:pStyle w:val="896"/>
        <w:pBdr/>
        <w:spacing w:after="0" w:line="360" w:lineRule="auto"/>
        <w:ind/>
        <w:jc w:val="both"/>
        <w:rPr>
          <w:rFonts w:ascii="Arial" w:hAnsi="Arial" w:cs="Arial"/>
        </w:rPr>
      </w:pPr>
      <w:r>
        <w:rPr>
          <w:rFonts w:ascii="Arial" w:hAnsi="Arial" w:cs="Arial"/>
        </w:rPr>
        <w:t xml:space="preserve">19.1.4.4. Responder por quaisquer danos causados ao erário ou a terceiros em razão de falhas na execução contratual;</w:t>
      </w:r>
      <w:r>
        <w:rPr>
          <w:rFonts w:ascii="Arial" w:hAnsi="Arial" w:cs="Arial"/>
        </w:rPr>
      </w:r>
    </w:p>
    <w:p w14:paraId="7DADC06D" w14:textId="77777777">
      <w:pPr>
        <w:pStyle w:val="896"/>
        <w:pBdr/>
        <w:spacing w:after="0" w:line="360" w:lineRule="auto"/>
        <w:ind/>
        <w:jc w:val="both"/>
        <w:rPr>
          <w:rFonts w:ascii="Arial" w:hAnsi="Arial" w:cs="Arial"/>
        </w:rPr>
      </w:pPr>
      <w:r>
        <w:rPr>
          <w:rFonts w:ascii="Arial" w:hAnsi="Arial" w:cs="Arial"/>
        </w:rPr>
        <w:t xml:space="preserve">19.1.4.5. Submeter-se integralmente às disposições da Lei nº 14.133/2021, da Ata de Registro de Preços e deste Termo de Referência.</w:t>
      </w:r>
      <w:r>
        <w:rPr>
          <w:rFonts w:ascii="Arial" w:hAnsi="Arial" w:cs="Arial"/>
        </w:rPr>
      </w:r>
    </w:p>
    <w:tbl>
      <w:tblPr>
        <w:tblInd w:w="115" w:type="dxa"/>
        <w:tblW w:w="10075" w:type="dxa"/>
        <w:tblBorders/>
        <w:tblLayout w:type="fixed"/>
        <w:tblLook w:val="0000" w:firstRow="0" w:lastRow="0" w:firstColumn="0" w:lastColumn="0" w:noHBand="0" w:noVBand="0"/>
      </w:tblPr>
      <w:tblGrid>
        <w:gridCol w:w="10075"/>
      </w:tblGrid>
      <w:tr>
        <w:trPr>
          <w:trHeight w:val="113"/>
        </w:trPr>
        <w:tc>
          <w:tcPr>
            <w:shd w:val="clear" w:color="auto" w:fill="dddddd"/>
            <w:tcBorders>
              <w:top w:val="single" w:color="000000" w:sz="4" w:space="0"/>
              <w:left w:val="single" w:color="000000" w:sz="4" w:space="0"/>
              <w:bottom w:val="single" w:color="000000" w:sz="4" w:space="0"/>
              <w:right w:val="single" w:color="000000" w:sz="4" w:space="0"/>
            </w:tcBorders>
            <w:tcW w:w="10075" w:type="dxa"/>
            <w:textDirection w:val="lrTb"/>
            <w:noWrap w:val="false"/>
          </w:tcPr>
          <w:p w14:paraId="0DBC1714" w14:textId="77777777">
            <w:pPr>
              <w:widowControl w:val="false"/>
              <w:pBdr/>
              <w:spacing/>
              <w:ind w:left="-89"/>
              <w:jc w:val="center"/>
              <w:rPr>
                <w:rFonts w:ascii="Arial" w:hAnsi="Arial" w:cs="Arial"/>
              </w:rPr>
            </w:pPr>
            <w:r>
              <w:rPr>
                <w:rFonts w:ascii="Arial" w:hAnsi="Arial" w:cs="Arial"/>
                <w:b/>
                <w:bCs/>
              </w:rPr>
              <w:t xml:space="preserve">20. DAS OBRIGAÇÕES DA CONTRATANTE</w:t>
            </w:r>
            <w:r>
              <w:rPr>
                <w:rFonts w:ascii="Arial" w:hAnsi="Arial" w:cs="Arial"/>
              </w:rPr>
            </w:r>
          </w:p>
        </w:tc>
      </w:tr>
    </w:tbl>
    <w:p w14:paraId="123A0BFA" w14:textId="77777777">
      <w:pPr>
        <w:pStyle w:val="896"/>
        <w:pBdr/>
        <w:spacing w:after="0" w:line="360" w:lineRule="auto"/>
        <w:ind/>
        <w:jc w:val="both"/>
        <w:rPr>
          <w:rFonts w:ascii="Arial" w:hAnsi="Arial" w:cs="Arial"/>
        </w:rPr>
      </w:pPr>
      <w:r>
        <w:rPr>
          <w:rFonts w:ascii="Arial" w:hAnsi="Arial" w:cs="Arial"/>
        </w:rPr>
        <w:t xml:space="preserve">20.1. São obrigações da CONTRATANTE:</w:t>
      </w:r>
      <w:r>
        <w:rPr>
          <w:rFonts w:ascii="Arial" w:hAnsi="Arial" w:cs="Arial"/>
        </w:rPr>
      </w:r>
    </w:p>
    <w:p w14:paraId="57EA240D" w14:textId="77777777">
      <w:pPr>
        <w:pStyle w:val="896"/>
        <w:pBdr/>
        <w:spacing w:after="0" w:line="360" w:lineRule="auto"/>
        <w:ind/>
        <w:jc w:val="both"/>
        <w:rPr>
          <w:rFonts w:ascii="Arial" w:hAnsi="Arial" w:cs="Arial"/>
        </w:rPr>
      </w:pPr>
      <w:r>
        <w:rPr>
          <w:rFonts w:ascii="Arial" w:hAnsi="Arial" w:cs="Arial"/>
        </w:rPr>
        <w:t xml:space="preserve">A Secretaria Municipal de Assistência Social de Rondonópolis-MT, na qualidade de contratante e responsável pela gestão e fiscalização do contrato, obriga-se a:</w:t>
      </w:r>
      <w:r>
        <w:rPr>
          <w:rFonts w:ascii="Arial" w:hAnsi="Arial" w:cs="Arial"/>
        </w:rPr>
      </w:r>
    </w:p>
    <w:p w14:paraId="4C75E355" w14:textId="77777777">
      <w:pPr>
        <w:pStyle w:val="896"/>
        <w:pBdr/>
        <w:spacing w:after="0" w:line="360" w:lineRule="auto"/>
        <w:ind/>
        <w:jc w:val="both"/>
        <w:rPr>
          <w:rFonts w:ascii="Arial" w:hAnsi="Arial" w:cs="Arial"/>
        </w:rPr>
      </w:pPr>
      <w:r>
        <w:rPr>
          <w:rFonts w:ascii="Arial" w:hAnsi="Arial" w:cs="Arial"/>
        </w:rPr>
        <w:t xml:space="preserve">20.1.1. Quanto à gestão e acompanhamento da execução contratual:</w:t>
      </w:r>
      <w:r>
        <w:rPr>
          <w:rFonts w:ascii="Arial" w:hAnsi="Arial" w:cs="Arial"/>
        </w:rPr>
      </w:r>
    </w:p>
    <w:p w14:paraId="619F2133" w14:textId="77777777">
      <w:pPr>
        <w:pStyle w:val="896"/>
        <w:pBdr/>
        <w:spacing w:after="0" w:line="360" w:lineRule="auto"/>
        <w:ind/>
        <w:jc w:val="both"/>
        <w:rPr>
          <w:rFonts w:ascii="Arial" w:hAnsi="Arial" w:cs="Arial"/>
        </w:rPr>
      </w:pPr>
      <w:r>
        <w:rPr>
          <w:rFonts w:ascii="Arial" w:hAnsi="Arial" w:cs="Arial"/>
        </w:rPr>
        <w:t xml:space="preserve">20.1.1.1. D</w:t>
      </w:r>
      <w:r>
        <w:rPr>
          <w:rFonts w:ascii="Arial" w:hAnsi="Arial" w:cs="Arial"/>
        </w:rPr>
        <w:t xml:space="preserve">esignar formalmente, nos termos do art. 117 da Lei nº 14.133/2021, servidor responsável pela fiscalização do contrato, com poderes para acompanhar, controlar e registrar a execução contratual, bem como promover as comunicações necessárias com a contratada;</w:t>
      </w:r>
      <w:r>
        <w:rPr>
          <w:rFonts w:ascii="Arial" w:hAnsi="Arial" w:cs="Arial"/>
        </w:rPr>
      </w:r>
    </w:p>
    <w:p w14:paraId="30C97BE4" w14:textId="77777777">
      <w:pPr>
        <w:pStyle w:val="896"/>
        <w:pBdr/>
        <w:spacing w:after="0" w:line="360" w:lineRule="auto"/>
        <w:ind/>
        <w:jc w:val="both"/>
        <w:rPr>
          <w:rFonts w:ascii="Arial" w:hAnsi="Arial" w:cs="Arial"/>
        </w:rPr>
      </w:pPr>
      <w:r>
        <w:rPr>
          <w:rFonts w:ascii="Arial" w:hAnsi="Arial" w:cs="Arial"/>
        </w:rPr>
        <w:t xml:space="preserve">20.1.1.2. Fornecer à contratada, de forma clara e tempestiva, as autorizações de fornecimento com a indicação das quantidades, CPF dos beneficiários, local de entrega e demais informações necessárias à execução do objeto;</w:t>
      </w:r>
      <w:r>
        <w:rPr>
          <w:rFonts w:ascii="Arial" w:hAnsi="Arial" w:cs="Arial"/>
        </w:rPr>
      </w:r>
    </w:p>
    <w:p w14:paraId="3CA2B5EA" w14:textId="77777777">
      <w:pPr>
        <w:pStyle w:val="896"/>
        <w:pBdr/>
        <w:spacing w:after="0" w:line="360" w:lineRule="auto"/>
        <w:ind/>
        <w:jc w:val="both"/>
        <w:rPr>
          <w:rFonts w:ascii="Arial" w:hAnsi="Arial" w:cs="Arial"/>
        </w:rPr>
      </w:pPr>
      <w:r>
        <w:rPr>
          <w:rFonts w:ascii="Arial" w:hAnsi="Arial" w:cs="Arial"/>
        </w:rPr>
        <w:t xml:space="preserve">20.1.1.3. Realizar, dentro dos prazos estabelecidos neste Termo de Referência, o recebimento provisório e definitivo dos cartões, conferindo a conformidade do objeto entregue com o contratado;</w:t>
      </w:r>
      <w:r>
        <w:rPr>
          <w:rFonts w:ascii="Arial" w:hAnsi="Arial" w:cs="Arial"/>
        </w:rPr>
      </w:r>
    </w:p>
    <w:p w14:paraId="4929B4EA" w14:textId="77777777">
      <w:pPr>
        <w:pStyle w:val="896"/>
        <w:pBdr/>
        <w:spacing w:after="0" w:line="360" w:lineRule="auto"/>
        <w:ind/>
        <w:jc w:val="both"/>
        <w:rPr>
          <w:rFonts w:ascii="Arial" w:hAnsi="Arial" w:cs="Arial"/>
        </w:rPr>
      </w:pPr>
      <w:r>
        <w:rPr>
          <w:rFonts w:ascii="Arial" w:hAnsi="Arial" w:cs="Arial"/>
        </w:rPr>
        <w:t xml:space="preserve">20.1.1.4. Garantir à contratada as condições necessárias para a entrega dos cartões nos locais indicados, incluindo acesso aos pontos de entrega e presença de servidor responsável pelo recebimento.</w:t>
      </w:r>
      <w:r>
        <w:rPr>
          <w:rFonts w:ascii="Arial" w:hAnsi="Arial" w:cs="Arial"/>
        </w:rPr>
      </w:r>
    </w:p>
    <w:p w14:paraId="600E45DB" w14:textId="77777777">
      <w:pPr>
        <w:pStyle w:val="896"/>
        <w:pBdr/>
        <w:spacing w:after="0" w:line="360" w:lineRule="auto"/>
        <w:ind/>
        <w:jc w:val="both"/>
        <w:rPr>
          <w:rFonts w:ascii="Arial" w:hAnsi="Arial" w:cs="Arial"/>
        </w:rPr>
      </w:pPr>
      <w:r>
        <w:rPr>
          <w:rFonts w:ascii="Arial" w:hAnsi="Arial" w:cs="Arial"/>
        </w:rPr>
        <w:t xml:space="preserve">20.1.2. Quanto ao controle e responsabilidade institucional:</w:t>
      </w:r>
      <w:r>
        <w:rPr>
          <w:rFonts w:ascii="Arial" w:hAnsi="Arial" w:cs="Arial"/>
        </w:rPr>
      </w:r>
    </w:p>
    <w:p w14:paraId="1E9ABC06" w14:textId="77777777">
      <w:pPr>
        <w:pStyle w:val="896"/>
        <w:pBdr/>
        <w:spacing w:after="0" w:line="360" w:lineRule="auto"/>
        <w:ind/>
        <w:jc w:val="both"/>
        <w:rPr>
          <w:rFonts w:ascii="Arial" w:hAnsi="Arial" w:cs="Arial"/>
        </w:rPr>
      </w:pPr>
      <w:r>
        <w:rPr>
          <w:rFonts w:ascii="Arial" w:hAnsi="Arial" w:cs="Arial"/>
        </w:rPr>
        <w:t xml:space="preserve">20.1.2.1. Acompanhar e controlar a efetiva aplicação dos benefícios junto às famílias atendidas, garantindo a conformidade com as diretrizes da política pública de assistência social e com a legislação vigente;</w:t>
      </w:r>
      <w:r>
        <w:rPr>
          <w:rFonts w:ascii="Arial" w:hAnsi="Arial" w:cs="Arial"/>
        </w:rPr>
      </w:r>
    </w:p>
    <w:p w14:paraId="312C0760" w14:textId="77777777">
      <w:pPr>
        <w:pStyle w:val="896"/>
        <w:pBdr/>
        <w:spacing w:after="0" w:line="360" w:lineRule="auto"/>
        <w:ind/>
        <w:jc w:val="both"/>
        <w:rPr>
          <w:rFonts w:ascii="Arial" w:hAnsi="Arial" w:cs="Arial"/>
        </w:rPr>
      </w:pPr>
      <w:r>
        <w:rPr>
          <w:rFonts w:ascii="Arial" w:hAnsi="Arial" w:cs="Arial"/>
        </w:rPr>
        <w:t xml:space="preserve">20.1.2.2. Fornecer, quando necessário, esclarecimentos, orientações e documentos complementares à contratada, relacionados ao objeto, à execução contratual e à rede de beneficiários;</w:t>
      </w:r>
      <w:r>
        <w:rPr>
          <w:rFonts w:ascii="Arial" w:hAnsi="Arial" w:cs="Arial"/>
        </w:rPr>
      </w:r>
    </w:p>
    <w:p w14:paraId="0123B583" w14:textId="77777777">
      <w:pPr>
        <w:pStyle w:val="896"/>
        <w:pBdr/>
        <w:spacing w:after="0" w:line="360" w:lineRule="auto"/>
        <w:ind/>
        <w:jc w:val="both"/>
        <w:rPr>
          <w:rFonts w:ascii="Arial" w:hAnsi="Arial" w:cs="Arial"/>
        </w:rPr>
      </w:pPr>
      <w:r>
        <w:rPr>
          <w:rFonts w:ascii="Arial" w:hAnsi="Arial" w:cs="Arial"/>
        </w:rPr>
        <w:t xml:space="preserve">20.1.2.3. Notificar formalmente a contratada sobre ocorrências de irregularidades, atrasos ou inconformidades na execução do contrato, concedendo prazo razoável para correção.</w:t>
      </w:r>
      <w:r>
        <w:rPr>
          <w:rFonts w:ascii="Arial" w:hAnsi="Arial" w:cs="Arial"/>
        </w:rPr>
      </w:r>
    </w:p>
    <w:p w14:paraId="51F70894" w14:textId="77777777">
      <w:pPr>
        <w:pStyle w:val="896"/>
        <w:pBdr/>
        <w:spacing w:after="0" w:line="360" w:lineRule="auto"/>
        <w:ind/>
        <w:jc w:val="both"/>
        <w:rPr>
          <w:rFonts w:ascii="Arial" w:hAnsi="Arial" w:cs="Arial"/>
        </w:rPr>
      </w:pPr>
      <w:r>
        <w:rPr>
          <w:rFonts w:ascii="Arial" w:hAnsi="Arial" w:cs="Arial"/>
        </w:rPr>
        <w:t xml:space="preserve">20.1.3. Quanto à regularidade administrativa e financeira:</w:t>
      </w:r>
      <w:r>
        <w:rPr>
          <w:rFonts w:ascii="Arial" w:hAnsi="Arial" w:cs="Arial"/>
        </w:rPr>
      </w:r>
    </w:p>
    <w:p w14:paraId="0D10F322" w14:textId="77777777">
      <w:pPr>
        <w:pStyle w:val="896"/>
        <w:pBdr/>
        <w:spacing w:after="0" w:line="360" w:lineRule="auto"/>
        <w:ind/>
        <w:jc w:val="both"/>
        <w:rPr>
          <w:rFonts w:ascii="Arial" w:hAnsi="Arial" w:cs="Arial"/>
        </w:rPr>
      </w:pPr>
      <w:r>
        <w:rPr>
          <w:rFonts w:ascii="Arial" w:hAnsi="Arial" w:cs="Arial"/>
        </w:rPr>
        <w:t xml:space="preserve">20.1.3.1. Atestar as notas fiscais somente após o recebimento definitivo e regular do objeto contratado, conforme previsto na Lei nº 14.133/2021 e neste Termo de Referência;</w:t>
      </w:r>
      <w:r>
        <w:rPr>
          <w:rFonts w:ascii="Arial" w:hAnsi="Arial" w:cs="Arial"/>
        </w:rPr>
      </w:r>
    </w:p>
    <w:p w14:paraId="5E4C045D" w14:textId="77777777">
      <w:pPr>
        <w:pStyle w:val="896"/>
        <w:pBdr/>
        <w:spacing w:after="0" w:line="360" w:lineRule="auto"/>
        <w:ind/>
        <w:jc w:val="both"/>
        <w:rPr>
          <w:rFonts w:ascii="Arial" w:hAnsi="Arial" w:cs="Arial"/>
        </w:rPr>
      </w:pPr>
      <w:r>
        <w:rPr>
          <w:rFonts w:ascii="Arial" w:hAnsi="Arial" w:cs="Arial"/>
        </w:rPr>
        <w:t xml:space="preserve">20.1.3.2. Efetuar o pagamento das despesas autorizadas e atestadas dentro do prazo contratual, desde que cumpridas todas as obrigações legais e contratuais por parte da contratada;</w:t>
      </w:r>
      <w:r>
        <w:rPr>
          <w:rFonts w:ascii="Arial" w:hAnsi="Arial" w:cs="Arial"/>
        </w:rPr>
      </w:r>
    </w:p>
    <w:p w14:paraId="255059A6" w14:textId="77777777">
      <w:pPr>
        <w:pStyle w:val="896"/>
        <w:pBdr/>
        <w:spacing w:after="0" w:line="360" w:lineRule="auto"/>
        <w:ind/>
        <w:jc w:val="both"/>
        <w:rPr>
          <w:rFonts w:ascii="Arial" w:hAnsi="Arial" w:cs="Arial"/>
        </w:rPr>
      </w:pPr>
      <w:r>
        <w:rPr>
          <w:rFonts w:ascii="Arial" w:hAnsi="Arial" w:cs="Arial"/>
        </w:rPr>
        <w:t xml:space="preserve">20.1.3.3. Garantir que nenhuma taxa administrativa incida sobre o Município, sendo vedado à contratada repassar custos relacionados ao sistema, gestão ou credenciamento de fornecedores ao ente público.</w:t>
      </w:r>
      <w:r>
        <w:rPr>
          <w:rFonts w:ascii="Arial" w:hAnsi="Arial" w:cs="Arial"/>
        </w:rPr>
      </w:r>
    </w:p>
    <w:p w14:paraId="168C046F" w14:textId="77777777">
      <w:pPr>
        <w:pStyle w:val="896"/>
        <w:pBdr/>
        <w:spacing w:after="0" w:line="360" w:lineRule="auto"/>
        <w:ind/>
        <w:jc w:val="both"/>
        <w:rPr>
          <w:rFonts w:ascii="Arial" w:hAnsi="Arial" w:cs="Arial"/>
        </w:rPr>
      </w:pPr>
      <w:r>
        <w:rPr>
          <w:rFonts w:ascii="Arial" w:hAnsi="Arial" w:cs="Arial"/>
        </w:rPr>
        <w:t xml:space="preserve">20.1.4. Quanto à transparência e responsabilidade institucional:</w:t>
      </w:r>
      <w:r>
        <w:rPr>
          <w:rFonts w:ascii="Arial" w:hAnsi="Arial" w:cs="Arial"/>
        </w:rPr>
      </w:r>
    </w:p>
    <w:p w14:paraId="1492C29C" w14:textId="77777777">
      <w:pPr>
        <w:pStyle w:val="896"/>
        <w:pBdr/>
        <w:spacing w:after="0" w:line="360" w:lineRule="auto"/>
        <w:ind/>
        <w:jc w:val="both"/>
        <w:rPr>
          <w:rFonts w:ascii="Arial" w:hAnsi="Arial" w:cs="Arial"/>
        </w:rPr>
      </w:pPr>
      <w:r>
        <w:rPr>
          <w:rFonts w:ascii="Arial" w:hAnsi="Arial" w:cs="Arial"/>
        </w:rPr>
        <w:t xml:space="preserve">20.1.4.1. Zelar pela proteção dos dados pessoais dos beneficiários, observando os princípios da Lei nº 13.709/2018, especialmente no compartilhamento de informações com a contratada;</w:t>
      </w:r>
      <w:r>
        <w:rPr>
          <w:rFonts w:ascii="Arial" w:hAnsi="Arial" w:cs="Arial"/>
        </w:rPr>
      </w:r>
    </w:p>
    <w:p w14:paraId="5D409B8F" w14:textId="77777777">
      <w:pPr>
        <w:pStyle w:val="896"/>
        <w:pBdr/>
        <w:spacing w:after="0" w:line="360" w:lineRule="auto"/>
        <w:ind/>
        <w:jc w:val="both"/>
        <w:rPr>
          <w:rFonts w:ascii="Arial" w:hAnsi="Arial" w:cs="Arial"/>
        </w:rPr>
      </w:pPr>
      <w:r>
        <w:rPr>
          <w:rFonts w:ascii="Arial" w:hAnsi="Arial" w:cs="Arial"/>
        </w:rPr>
        <w:t xml:space="preserve">20.1.4.2. Providenciar os registros de atos, relatórios, fiscalizações e pagamentos no sistema de gestão contratual utilizado pelo Município, mantendo a rastreabilidade dos atos administrativos vinculados à execução do objeto;</w:t>
      </w:r>
      <w:r>
        <w:rPr>
          <w:rFonts w:ascii="Arial" w:hAnsi="Arial" w:cs="Arial"/>
        </w:rPr>
      </w:r>
    </w:p>
    <w:p w14:paraId="129CA255" w14:textId="77777777">
      <w:pPr>
        <w:pStyle w:val="896"/>
        <w:pBdr/>
        <w:spacing w:after="0" w:line="360" w:lineRule="auto"/>
        <w:ind/>
        <w:jc w:val="both"/>
        <w:rPr>
          <w:rFonts w:ascii="Arial" w:hAnsi="Arial" w:cs="Arial"/>
        </w:rPr>
      </w:pPr>
      <w:r>
        <w:rPr>
          <w:rFonts w:ascii="Arial" w:hAnsi="Arial" w:cs="Arial"/>
        </w:rPr>
        <w:t xml:space="preserve">20.1.4.3. Adotar, quando necessário, as medidas legais e administrativas cabíveis para resguardar o interesse público, o erário e a continuidade da política pública de assistência social.</w:t>
      </w:r>
      <w:r>
        <w:rPr>
          <w:rFonts w:ascii="Arial" w:hAnsi="Arial" w:cs="Arial"/>
        </w:rPr>
      </w:r>
    </w:p>
    <w:tbl>
      <w:tblPr>
        <w:tblInd w:w="128" w:type="dxa"/>
        <w:tblW w:w="10075" w:type="dxa"/>
        <w:tblBorders/>
        <w:tblLayout w:type="fixed"/>
        <w:tblLook w:val="0000" w:firstRow="0" w:lastRow="0" w:firstColumn="0" w:lastColumn="0" w:noHBand="0" w:noVBand="0"/>
      </w:tblPr>
      <w:tblGrid>
        <w:gridCol w:w="10075"/>
      </w:tblGrid>
      <w:tr>
        <w:trPr>
          <w:trHeight w:val="290"/>
        </w:trPr>
        <w:tc>
          <w:tcPr>
            <w:shd w:val="clear" w:color="auto" w:fill="dddddd"/>
            <w:tcBorders>
              <w:top w:val="single" w:color="000000" w:sz="4" w:space="0"/>
              <w:left w:val="single" w:color="000000" w:sz="4" w:space="0"/>
              <w:bottom w:val="single" w:color="000000" w:sz="4" w:space="0"/>
              <w:right w:val="single" w:color="000000" w:sz="4" w:space="0"/>
            </w:tcBorders>
            <w:tcW w:w="10075" w:type="dxa"/>
            <w:textDirection w:val="lrTb"/>
            <w:noWrap w:val="false"/>
          </w:tcPr>
          <w:p w14:paraId="1E0C4124" w14:textId="77777777">
            <w:pPr>
              <w:widowControl w:val="false"/>
              <w:pBdr/>
              <w:spacing/>
              <w:ind/>
              <w:jc w:val="center"/>
              <w:rPr>
                <w:rFonts w:ascii="Arial" w:hAnsi="Arial" w:cs="Arial"/>
              </w:rPr>
            </w:pPr>
            <w:r>
              <w:rPr>
                <w:rFonts w:ascii="Arial" w:hAnsi="Arial" w:cs="Arial"/>
                <w:b/>
                <w:bCs/>
              </w:rPr>
              <w:t xml:space="preserve">21. DAS SANÇÕES ADMINISTRATIVAS</w:t>
            </w:r>
            <w:r>
              <w:rPr>
                <w:rFonts w:ascii="Arial" w:hAnsi="Arial" w:cs="Arial"/>
              </w:rPr>
            </w:r>
          </w:p>
        </w:tc>
      </w:tr>
    </w:tbl>
    <w:p w14:paraId="45703CC5" w14:textId="77777777">
      <w:pPr>
        <w:pBdr/>
        <w:spacing w:line="360" w:lineRule="auto"/>
        <w:ind/>
        <w:jc w:val="both"/>
        <w:rPr>
          <w:rFonts w:ascii="Arial" w:hAnsi="Arial" w:cs="Arial"/>
        </w:rPr>
      </w:pPr>
      <w:r>
        <w:rPr>
          <w:rFonts w:ascii="Arial" w:hAnsi="Arial" w:cs="Arial"/>
        </w:rPr>
        <w:t xml:space="preserve">21.1. A aplicação de penalidade é de competência do Secretário, ressalvada a sanção de advertência, quando prevista delegação específica.</w:t>
      </w:r>
      <w:r>
        <w:rPr>
          <w:rFonts w:ascii="Arial" w:hAnsi="Arial" w:cs="Arial"/>
        </w:rPr>
      </w:r>
    </w:p>
    <w:p w14:paraId="7DD83E6F" w14:textId="77777777">
      <w:pPr>
        <w:pBdr/>
        <w:spacing w:line="360" w:lineRule="auto"/>
        <w:ind/>
        <w:jc w:val="both"/>
        <w:rPr>
          <w:rFonts w:ascii="Arial" w:hAnsi="Arial" w:cs="Arial"/>
        </w:rPr>
      </w:pPr>
      <w:r>
        <w:rPr>
          <w:rFonts w:ascii="Arial" w:hAnsi="Arial" w:cs="Arial"/>
        </w:rPr>
        <w:t xml:space="preserve">21.2. A empresa contratada ficará sujeita às penalidades previstas neste instrumento e na legislação aplicável caso deixe de cumprir prazos ou demais obrigações assumidas, assegurados o contraditório e a ampla defesa.</w:t>
      </w:r>
      <w:r>
        <w:rPr>
          <w:rFonts w:ascii="Arial" w:hAnsi="Arial" w:cs="Arial"/>
        </w:rPr>
      </w:r>
    </w:p>
    <w:p w14:paraId="6BE0259A" w14:textId="77777777">
      <w:pPr>
        <w:pBdr/>
        <w:spacing w:line="360" w:lineRule="auto"/>
        <w:ind/>
        <w:jc w:val="both"/>
        <w:rPr>
          <w:rFonts w:ascii="Arial" w:hAnsi="Arial" w:cs="Arial"/>
        </w:rPr>
      </w:pPr>
      <w:r>
        <w:rPr>
          <w:rFonts w:ascii="Arial" w:hAnsi="Arial" w:cs="Arial"/>
        </w:rPr>
        <w:t xml:space="preserve">21.3. Constituem infrações administrativas as previstas no art. 155 da Lei nº 14.133/2021.</w:t>
      </w:r>
      <w:r>
        <w:rPr>
          <w:rFonts w:ascii="Arial" w:hAnsi="Arial" w:cs="Arial"/>
        </w:rPr>
      </w:r>
    </w:p>
    <w:p w14:paraId="110F79C3" w14:textId="77777777">
      <w:pPr>
        <w:pBdr/>
        <w:spacing w:line="360" w:lineRule="auto"/>
        <w:ind/>
        <w:jc w:val="both"/>
        <w:rPr>
          <w:rFonts w:ascii="Arial" w:hAnsi="Arial" w:cs="Arial"/>
        </w:rPr>
      </w:pPr>
      <w:r>
        <w:rPr>
          <w:rFonts w:ascii="Arial" w:hAnsi="Arial" w:cs="Arial"/>
        </w:rPr>
        <w:t xml:space="preserve">21.4. Serão aplicadas ao responsável pelas infrações administrativas as seguintes sanções:</w:t>
      </w:r>
      <w:r>
        <w:rPr>
          <w:rFonts w:ascii="Arial" w:hAnsi="Arial" w:cs="Arial"/>
        </w:rPr>
      </w:r>
    </w:p>
    <w:p w14:paraId="19BEE836" w14:textId="77777777">
      <w:pPr>
        <w:pBdr/>
        <w:spacing w:line="360" w:lineRule="auto"/>
        <w:ind/>
        <w:jc w:val="both"/>
        <w:rPr>
          <w:rFonts w:ascii="Arial" w:hAnsi="Arial" w:cs="Arial"/>
        </w:rPr>
      </w:pPr>
      <w:r>
        <w:rPr>
          <w:rFonts w:ascii="Arial" w:hAnsi="Arial" w:cs="Arial"/>
        </w:rPr>
        <w:t xml:space="preserve">21.4.1. Advertência, quando o contratado der causa à inexecução parcial do contrato, sempre que não se justificar a imposição de penalidade mais grave (art. 156, §2º);</w:t>
      </w:r>
      <w:r>
        <w:rPr>
          <w:rFonts w:ascii="Arial" w:hAnsi="Arial" w:cs="Arial"/>
        </w:rPr>
      </w:r>
    </w:p>
    <w:p w14:paraId="4BDF2633" w14:textId="77777777">
      <w:pPr>
        <w:pBdr/>
        <w:spacing w:line="360" w:lineRule="auto"/>
        <w:ind/>
        <w:jc w:val="both"/>
        <w:rPr>
          <w:rFonts w:ascii="Arial" w:hAnsi="Arial" w:cs="Arial"/>
        </w:rPr>
      </w:pPr>
      <w:r>
        <w:rPr>
          <w:rFonts w:ascii="Arial" w:hAnsi="Arial" w:cs="Arial"/>
        </w:rPr>
        <w:t xml:space="preserve">21.4.2. Impedimento de licitar e contratar, quando praticadas as condutas previstas no art. 155 que não justifiquem penalidade mais grave (art. 156, §4º);</w:t>
      </w:r>
      <w:r>
        <w:rPr>
          <w:rFonts w:ascii="Arial" w:hAnsi="Arial" w:cs="Arial"/>
        </w:rPr>
      </w:r>
    </w:p>
    <w:p w14:paraId="4AC9506A" w14:textId="77777777">
      <w:pPr>
        <w:pBdr/>
        <w:spacing w:line="360" w:lineRule="auto"/>
        <w:ind/>
        <w:jc w:val="both"/>
        <w:rPr>
          <w:rFonts w:ascii="Arial" w:hAnsi="Arial" w:cs="Arial"/>
        </w:rPr>
      </w:pPr>
      <w:r>
        <w:rPr>
          <w:rFonts w:ascii="Arial" w:hAnsi="Arial" w:cs="Arial"/>
        </w:rPr>
        <w:t xml:space="preserve">21.4.3. Declaração de inidoneidade para licitar e contratar, quando praticadas as condutas previstas nos incisos do caput do art. 155 que justifiquem a imposição de penalidade mais grave (art. 156, §5º);</w:t>
      </w:r>
      <w:r>
        <w:rPr>
          <w:rFonts w:ascii="Arial" w:hAnsi="Arial" w:cs="Arial"/>
        </w:rPr>
      </w:r>
    </w:p>
    <w:p w14:paraId="281EBCD7" w14:textId="77777777">
      <w:pPr>
        <w:pBdr/>
        <w:spacing w:line="360" w:lineRule="auto"/>
        <w:ind/>
        <w:jc w:val="both"/>
        <w:rPr>
          <w:rFonts w:ascii="Arial" w:hAnsi="Arial" w:cs="Arial"/>
        </w:rPr>
      </w:pPr>
      <w:r>
        <w:rPr>
          <w:rFonts w:ascii="Arial" w:hAnsi="Arial" w:cs="Arial"/>
        </w:rPr>
        <w:t xml:space="preserve">21.4.4. Multa, podendo ser:</w:t>
      </w:r>
      <w:r>
        <w:rPr>
          <w:rFonts w:ascii="Arial" w:hAnsi="Arial" w:cs="Arial"/>
        </w:rPr>
      </w:r>
    </w:p>
    <w:p w14:paraId="3E3F3EC6" w14:textId="77777777">
      <w:pPr>
        <w:pBdr/>
        <w:spacing w:line="360" w:lineRule="auto"/>
        <w:ind/>
        <w:jc w:val="both"/>
        <w:rPr>
          <w:rFonts w:ascii="Arial" w:hAnsi="Arial" w:cs="Arial"/>
        </w:rPr>
      </w:pPr>
      <w:r>
        <w:rPr>
          <w:rFonts w:ascii="Arial" w:hAnsi="Arial" w:cs="Arial"/>
        </w:rPr>
        <w:t xml:space="preserve">a) moratória de 1% (um por cento) por dia de atraso injustificado sobre o valor da parcela inadimplida, até o limite de 30 (trinta) dias;</w:t>
      </w:r>
      <w:r>
        <w:rPr>
          <w:rFonts w:ascii="Arial" w:hAnsi="Arial" w:cs="Arial"/>
        </w:rPr>
      </w:r>
    </w:p>
    <w:p w14:paraId="1B581463" w14:textId="77777777">
      <w:pPr>
        <w:pBdr/>
        <w:spacing w:line="360" w:lineRule="auto"/>
        <w:ind/>
        <w:jc w:val="both"/>
        <w:rPr>
          <w:rFonts w:ascii="Arial" w:hAnsi="Arial" w:cs="Arial"/>
        </w:rPr>
      </w:pPr>
      <w:r>
        <w:rPr>
          <w:rFonts w:ascii="Arial" w:hAnsi="Arial" w:cs="Arial"/>
        </w:rPr>
        <w:t xml:space="preserve">b) compensatória de 10% (dez por cento) sobre o valor total do contrato, no caso de inexecução total do objeto, ou sobre o valor da parcela inadimplida, no caso de inexecução parcial.</w:t>
      </w:r>
      <w:r>
        <w:rPr>
          <w:rFonts w:ascii="Arial" w:hAnsi="Arial" w:cs="Arial"/>
        </w:rPr>
      </w:r>
    </w:p>
    <w:p w14:paraId="1D12E75E" w14:textId="77777777">
      <w:pPr>
        <w:pBdr/>
        <w:spacing w:line="360" w:lineRule="auto"/>
        <w:ind/>
        <w:jc w:val="both"/>
        <w:rPr>
          <w:rFonts w:ascii="Arial" w:hAnsi="Arial" w:cs="Arial"/>
        </w:rPr>
      </w:pPr>
      <w:r>
        <w:rPr>
          <w:rFonts w:ascii="Arial" w:hAnsi="Arial" w:cs="Arial"/>
        </w:rPr>
        <w:t xml:space="preserve">21.4.5. A aplicação das sanções previstas neste Contrato não exclui, em hipótese alguma, a obrigação de reparação integral do dano causado à Contratante (art. 156, §9º).</w:t>
      </w:r>
      <w:r>
        <w:rPr>
          <w:rFonts w:ascii="Arial" w:hAnsi="Arial" w:cs="Arial"/>
        </w:rPr>
      </w:r>
    </w:p>
    <w:p w14:paraId="7942CCF9" w14:textId="77777777">
      <w:pPr>
        <w:pBdr/>
        <w:spacing w:line="360" w:lineRule="auto"/>
        <w:ind/>
        <w:jc w:val="both"/>
        <w:rPr>
          <w:rFonts w:ascii="Arial" w:hAnsi="Arial" w:cs="Arial"/>
        </w:rPr>
      </w:pPr>
      <w:r>
        <w:rPr>
          <w:rFonts w:ascii="Arial" w:hAnsi="Arial" w:cs="Arial"/>
        </w:rPr>
        <w:t xml:space="preserve">21.4.6. Todas as sanções poderão ser aplicadas cumulativamente com a multa (art. 156, §7º).</w:t>
      </w:r>
      <w:r>
        <w:rPr>
          <w:rFonts w:ascii="Arial" w:hAnsi="Arial" w:cs="Arial"/>
        </w:rPr>
      </w:r>
    </w:p>
    <w:p w14:paraId="12BE65C5" w14:textId="77777777">
      <w:pPr>
        <w:pBdr/>
        <w:spacing w:line="360" w:lineRule="auto"/>
        <w:ind/>
        <w:jc w:val="both"/>
        <w:rPr>
          <w:rFonts w:ascii="Arial" w:hAnsi="Arial" w:cs="Arial"/>
        </w:rPr>
      </w:pPr>
      <w:r>
        <w:rPr>
          <w:rFonts w:ascii="Arial" w:hAnsi="Arial" w:cs="Arial"/>
        </w:rPr>
        <w:t xml:space="preserve">21.4.7. Antes da aplicação da multa será facultada a defesa do interessado no prazo de 15 (quinze) dias úteis, contado da data de sua intimação (art. 157).</w:t>
      </w:r>
      <w:r>
        <w:rPr>
          <w:rFonts w:ascii="Arial" w:hAnsi="Arial" w:cs="Arial"/>
        </w:rPr>
      </w:r>
    </w:p>
    <w:p w14:paraId="2D52ED0A" w14:textId="77777777">
      <w:pPr>
        <w:pBdr/>
        <w:spacing w:line="360" w:lineRule="auto"/>
        <w:ind/>
        <w:jc w:val="both"/>
        <w:rPr>
          <w:rFonts w:ascii="Arial" w:hAnsi="Arial" w:cs="Arial"/>
        </w:rPr>
      </w:pPr>
      <w:r>
        <w:rPr>
          <w:rFonts w:ascii="Arial" w:hAnsi="Arial" w:cs="Arial"/>
        </w:rPr>
        <w:t xml:space="preserve">21.4.8. Se a m</w:t>
      </w:r>
      <w:r>
        <w:rPr>
          <w:rFonts w:ascii="Arial" w:hAnsi="Arial" w:cs="Arial"/>
        </w:rPr>
        <w:t xml:space="preserve">ulta aplicada e as indenizações cabíveis forem superiores ao valor do pagamento eventualmente devido pela Contratante ao Contratado, além da perda desse valor, a diferença poderá ser descontada da garantia prestada ou cobrada judicialmente (art. 156, §8º).</w:t>
      </w:r>
      <w:r>
        <w:rPr>
          <w:rFonts w:ascii="Arial" w:hAnsi="Arial" w:cs="Arial"/>
        </w:rPr>
      </w:r>
    </w:p>
    <w:p w14:paraId="615C747E" w14:textId="77777777">
      <w:pPr>
        <w:pBdr/>
        <w:spacing w:line="360" w:lineRule="auto"/>
        <w:ind/>
        <w:jc w:val="both"/>
        <w:rPr>
          <w:rFonts w:ascii="Arial" w:hAnsi="Arial" w:cs="Arial"/>
        </w:rPr>
      </w:pPr>
      <w:r>
        <w:rPr>
          <w:rFonts w:ascii="Arial" w:hAnsi="Arial" w:cs="Arial"/>
        </w:rPr>
        <w:t xml:space="preserve">21.4.9. Previamente ao encaminhamento à cobrança judicial, a multa poderá ser recolhida administrativamente no prazo máximo de 30 (trinta) dias, contado do recebimento da comunicação pela autoridade competente.</w:t>
      </w:r>
      <w:r>
        <w:rPr>
          <w:rFonts w:ascii="Arial" w:hAnsi="Arial" w:cs="Arial"/>
        </w:rPr>
      </w:r>
    </w:p>
    <w:p w14:paraId="32EDFA23" w14:textId="77777777">
      <w:pPr>
        <w:pBdr/>
        <w:spacing w:line="360" w:lineRule="auto"/>
        <w:ind/>
        <w:jc w:val="both"/>
        <w:rPr>
          <w:rFonts w:ascii="Arial" w:hAnsi="Arial" w:cs="Arial"/>
        </w:rPr>
      </w:pPr>
      <w:r>
        <w:rPr>
          <w:rFonts w:ascii="Arial" w:hAnsi="Arial" w:cs="Arial"/>
        </w:rPr>
        <w:t xml:space="preserve">21.4.10. A aplicação das sanções realizar-</w:t>
      </w:r>
      <w:r>
        <w:rPr>
          <w:rFonts w:ascii="Arial" w:hAnsi="Arial" w:cs="Arial"/>
        </w:rPr>
        <w:t xml:space="preserve">se-á em processo administrativo que assegure o contraditório e a ampla defesa, observando-se o procedimento previsto no art. 158 da Lei nº 14.133/2021, especialmente para as penalidades de impedimento de licitar e contratar e de declaração de inidoneidade.</w:t>
      </w:r>
      <w:r>
        <w:rPr>
          <w:rFonts w:ascii="Arial" w:hAnsi="Arial" w:cs="Arial"/>
        </w:rPr>
      </w:r>
    </w:p>
    <w:p w14:paraId="6EA1EDEC" w14:textId="77777777">
      <w:pPr>
        <w:pBdr/>
        <w:spacing w:line="360" w:lineRule="auto"/>
        <w:ind/>
        <w:jc w:val="both"/>
        <w:rPr>
          <w:rFonts w:ascii="Arial" w:hAnsi="Arial" w:cs="Arial"/>
        </w:rPr>
      </w:pPr>
      <w:r>
        <w:rPr>
          <w:rFonts w:ascii="Arial" w:hAnsi="Arial" w:cs="Arial"/>
        </w:rPr>
        <w:t xml:space="preserve">21.4.11. Na aplicação das sanções serão considerados, nos termos do art. 156, §1º:</w:t>
      </w:r>
      <w:r>
        <w:rPr>
          <w:rFonts w:ascii="Arial" w:hAnsi="Arial" w:cs="Arial"/>
        </w:rPr>
      </w:r>
    </w:p>
    <w:p w14:paraId="55317570" w14:textId="77777777">
      <w:pPr>
        <w:pBdr/>
        <w:spacing w:line="360" w:lineRule="auto"/>
        <w:ind/>
        <w:jc w:val="both"/>
        <w:rPr>
          <w:rFonts w:ascii="Arial" w:hAnsi="Arial" w:cs="Arial"/>
        </w:rPr>
      </w:pPr>
      <w:r>
        <w:rPr>
          <w:rFonts w:ascii="Arial" w:hAnsi="Arial" w:cs="Arial"/>
        </w:rPr>
        <w:t xml:space="preserve">a) a natureza e a gravidade da infração cometida;</w:t>
      </w:r>
      <w:r>
        <w:rPr>
          <w:rFonts w:ascii="Arial" w:hAnsi="Arial" w:cs="Arial"/>
        </w:rPr>
      </w:r>
    </w:p>
    <w:p w14:paraId="65732985" w14:textId="77777777">
      <w:pPr>
        <w:pBdr/>
        <w:spacing w:line="360" w:lineRule="auto"/>
        <w:ind/>
        <w:jc w:val="both"/>
        <w:rPr>
          <w:rFonts w:ascii="Arial" w:hAnsi="Arial" w:cs="Arial"/>
        </w:rPr>
      </w:pPr>
      <w:r>
        <w:rPr>
          <w:rFonts w:ascii="Arial" w:hAnsi="Arial" w:cs="Arial"/>
        </w:rPr>
        <w:t xml:space="preserve">b) as peculiaridades do caso concreto;</w:t>
      </w:r>
      <w:r>
        <w:rPr>
          <w:rFonts w:ascii="Arial" w:hAnsi="Arial" w:cs="Arial"/>
        </w:rPr>
      </w:r>
    </w:p>
    <w:p w14:paraId="0E0CB95F" w14:textId="77777777">
      <w:pPr>
        <w:pBdr/>
        <w:spacing w:line="360" w:lineRule="auto"/>
        <w:ind/>
        <w:jc w:val="both"/>
        <w:rPr>
          <w:rFonts w:ascii="Arial" w:hAnsi="Arial" w:cs="Arial"/>
        </w:rPr>
      </w:pPr>
      <w:r>
        <w:rPr>
          <w:rFonts w:ascii="Arial" w:hAnsi="Arial" w:cs="Arial"/>
        </w:rPr>
        <w:t xml:space="preserve">c) as circunstâncias agravantes ou atenuantes;</w:t>
      </w:r>
      <w:r>
        <w:rPr>
          <w:rFonts w:ascii="Arial" w:hAnsi="Arial" w:cs="Arial"/>
        </w:rPr>
      </w:r>
    </w:p>
    <w:p w14:paraId="19303420" w14:textId="77777777">
      <w:pPr>
        <w:pBdr/>
        <w:spacing w:line="360" w:lineRule="auto"/>
        <w:ind/>
        <w:jc w:val="both"/>
        <w:rPr>
          <w:rFonts w:ascii="Arial" w:hAnsi="Arial" w:cs="Arial"/>
        </w:rPr>
      </w:pPr>
      <w:r>
        <w:rPr>
          <w:rFonts w:ascii="Arial" w:hAnsi="Arial" w:cs="Arial"/>
        </w:rPr>
        <w:t xml:space="preserve">d) os danos que dela provierem para a Contratante;</w:t>
      </w:r>
      <w:r>
        <w:rPr>
          <w:rFonts w:ascii="Arial" w:hAnsi="Arial" w:cs="Arial"/>
        </w:rPr>
      </w:r>
    </w:p>
    <w:p w14:paraId="694C7575" w14:textId="77777777">
      <w:pPr>
        <w:pBdr/>
        <w:spacing w:line="360" w:lineRule="auto"/>
        <w:ind/>
        <w:jc w:val="both"/>
        <w:rPr>
          <w:rFonts w:ascii="Arial" w:hAnsi="Arial" w:cs="Arial"/>
        </w:rPr>
      </w:pPr>
      <w:r>
        <w:rPr>
          <w:rFonts w:ascii="Arial" w:hAnsi="Arial" w:cs="Arial"/>
        </w:rPr>
        <w:t xml:space="preserve">e) a implantação ou o aperfeiçoamento de programa de integridade, conforme normas e orientações dos órgãos de controle.</w:t>
      </w:r>
      <w:r>
        <w:rPr>
          <w:rFonts w:ascii="Arial" w:hAnsi="Arial" w:cs="Arial"/>
        </w:rPr>
      </w:r>
    </w:p>
    <w:p w14:paraId="3542EE6F" w14:textId="77777777">
      <w:pPr>
        <w:pBdr/>
        <w:spacing w:line="360" w:lineRule="auto"/>
        <w:ind/>
        <w:jc w:val="both"/>
        <w:rPr>
          <w:rFonts w:ascii="Arial" w:hAnsi="Arial" w:cs="Arial"/>
        </w:rPr>
      </w:pPr>
      <w:r>
        <w:rPr>
          <w:rFonts w:ascii="Arial" w:hAnsi="Arial" w:cs="Arial"/>
        </w:rPr>
        <w:t xml:space="preserve">21.5. Os atos previstos como infrações administrativas na Lei nº 14.133/2021 ou em out</w:t>
      </w:r>
      <w:r>
        <w:rPr>
          <w:rFonts w:ascii="Arial" w:hAnsi="Arial" w:cs="Arial"/>
        </w:rPr>
        <w:t xml:space="preserve">ras normas de licitações e contratos que também sejam tipificados como atos lesivos na Lei nº 12.846/2013 serão apurados e julgados conjuntamente, nos mesmos autos, observados o rito procedimental e a autoridade competente (art. 159 da Lei nº 14.133/2021).</w:t>
      </w:r>
      <w:r>
        <w:rPr>
          <w:rFonts w:ascii="Arial" w:hAnsi="Arial" w:cs="Arial"/>
        </w:rPr>
      </w:r>
    </w:p>
    <w:p w14:paraId="63C1E580" w14:textId="77777777">
      <w:pPr>
        <w:pBdr/>
        <w:spacing w:line="360" w:lineRule="auto"/>
        <w:ind/>
        <w:jc w:val="both"/>
        <w:rPr>
          <w:rFonts w:ascii="Arial" w:hAnsi="Arial" w:cs="Arial"/>
        </w:rPr>
      </w:pPr>
      <w:r>
        <w:rPr>
          <w:rFonts w:ascii="Arial" w:hAnsi="Arial" w:cs="Arial"/>
        </w:rPr>
        <w:t xml:space="preserve">21.6. A personalidade jurídica do contratado poderá ser desconsiderada nas hipóteses previstas no art. 160 da Lei nº 14.133/2021, assegurados o contraditório, a ampla defesa e a análise jurídica prévia.</w:t>
      </w:r>
      <w:r>
        <w:rPr>
          <w:rFonts w:ascii="Arial" w:hAnsi="Arial" w:cs="Arial"/>
        </w:rPr>
      </w:r>
    </w:p>
    <w:p w14:paraId="208E3CCA" w14:textId="77777777">
      <w:pPr>
        <w:pBdr/>
        <w:spacing w:line="360" w:lineRule="auto"/>
        <w:ind/>
        <w:jc w:val="both"/>
        <w:rPr>
          <w:rFonts w:ascii="Arial" w:hAnsi="Arial" w:cs="Arial"/>
        </w:rPr>
      </w:pPr>
      <w:r>
        <w:rPr>
          <w:rFonts w:ascii="Arial" w:hAnsi="Arial" w:cs="Arial"/>
        </w:rPr>
        <w:t xml:space="preserve">21.7. A Contratante deverá, no prazo máximo de 15 (quinze) dias úteis contado da </w:t>
      </w:r>
      <w:r>
        <w:rPr>
          <w:rFonts w:ascii="Arial" w:hAnsi="Arial" w:cs="Arial"/>
        </w:rPr>
        <w:t xml:space="preserve">aplicação da sanção, informar e manter atualizados os dados relativos às penalidades aplicadas para fins de publicidade no Cadastro Nacional de Empresas Inidôneas e Suspensas (CEIS) e no Cadastro Nacional de Empresas Punidas (CNEP), nos termos do art. 161.</w:t>
      </w:r>
      <w:r>
        <w:rPr>
          <w:rFonts w:ascii="Arial" w:hAnsi="Arial" w:cs="Arial"/>
        </w:rPr>
      </w:r>
    </w:p>
    <w:p w14:paraId="0BBECA55" w14:textId="77777777">
      <w:pPr>
        <w:pBdr/>
        <w:spacing w:line="360" w:lineRule="auto"/>
        <w:ind/>
        <w:jc w:val="both"/>
        <w:rPr>
          <w:rFonts w:ascii="Arial" w:hAnsi="Arial" w:cs="Arial"/>
        </w:rPr>
      </w:pPr>
      <w:r>
        <w:rPr>
          <w:rFonts w:ascii="Arial" w:hAnsi="Arial" w:cs="Arial"/>
        </w:rPr>
        <w:t xml:space="preserve">21.8. As sanções de impedimento de licitar e contratar e de declaração de inidoneidade são passíveis de reabilitação na forma do art. 163 da Lei nº 14.133/2021.</w:t>
      </w:r>
      <w:r>
        <w:rPr>
          <w:rFonts w:ascii="Arial" w:hAnsi="Arial" w:cs="Arial"/>
        </w:rPr>
      </w:r>
    </w:p>
    <w:tbl>
      <w:tblPr>
        <w:tblInd w:w="115" w:type="dxa"/>
        <w:tblW w:w="10075" w:type="dxa"/>
        <w:tblBorders/>
        <w:tblLayout w:type="fixed"/>
        <w:tblLook w:val="0000" w:firstRow="0" w:lastRow="0" w:firstColumn="0" w:lastColumn="0" w:noHBand="0" w:noVBand="0"/>
      </w:tblPr>
      <w:tblGrid>
        <w:gridCol w:w="10075"/>
      </w:tblGrid>
      <w:tr>
        <w:trPr>
          <w:trHeight w:val="290"/>
        </w:trPr>
        <w:tc>
          <w:tcPr>
            <w:shd w:val="clear" w:color="auto" w:fill="dddddd"/>
            <w:tcBorders>
              <w:top w:val="single" w:color="000000" w:sz="4" w:space="0"/>
              <w:left w:val="single" w:color="000000" w:sz="4" w:space="0"/>
              <w:bottom w:val="single" w:color="000000" w:sz="4" w:space="0"/>
              <w:right w:val="single" w:color="000000" w:sz="4" w:space="0"/>
            </w:tcBorders>
            <w:tcW w:w="10075" w:type="dxa"/>
            <w:textDirection w:val="lrTb"/>
            <w:noWrap w:val="false"/>
          </w:tcPr>
          <w:p w14:paraId="3164D427" w14:textId="77777777">
            <w:pPr>
              <w:widowControl w:val="false"/>
              <w:pBdr/>
              <w:spacing/>
              <w:ind/>
              <w:jc w:val="center"/>
              <w:rPr>
                <w:rFonts w:ascii="Arial" w:hAnsi="Arial" w:cs="Arial"/>
              </w:rPr>
            </w:pPr>
            <w:r>
              <w:rPr>
                <w:rFonts w:ascii="Arial" w:hAnsi="Arial" w:cs="Arial"/>
                <w:b/>
                <w:bCs/>
              </w:rPr>
              <w:t xml:space="preserve">22. ANEXOS</w:t>
            </w:r>
            <w:r>
              <w:rPr>
                <w:rFonts w:ascii="Arial" w:hAnsi="Arial" w:cs="Arial"/>
              </w:rPr>
            </w:r>
          </w:p>
        </w:tc>
      </w:tr>
    </w:tbl>
    <w:p w14:paraId="1CC9D2B4" w14:textId="77777777">
      <w:pPr>
        <w:pBdr/>
        <w:spacing w:line="360" w:lineRule="auto"/>
        <w:ind w:right="454"/>
        <w:jc w:val="both"/>
        <w:rPr>
          <w:rFonts w:ascii="Arial" w:hAnsi="Arial" w:cs="Arial"/>
        </w:rPr>
      </w:pPr>
      <w:r>
        <w:rPr>
          <w:rFonts w:ascii="Arial" w:hAnsi="Arial" w:cs="Arial"/>
        </w:rPr>
        <w:t xml:space="preserve">22.1. Não há anexos.</w:t>
      </w:r>
      <w:r>
        <w:rPr>
          <w:rFonts w:ascii="Arial" w:hAnsi="Arial" w:cs="Arial"/>
        </w:rPr>
      </w:r>
    </w:p>
    <w:tbl>
      <w:tblPr>
        <w:tblInd w:w="140" w:type="dxa"/>
        <w:tblW w:w="10075" w:type="dxa"/>
        <w:tblBorders/>
        <w:tblLayout w:type="fixed"/>
        <w:tblLook w:val="0000" w:firstRow="0" w:lastRow="0" w:firstColumn="0" w:lastColumn="0" w:noHBand="0" w:noVBand="0"/>
      </w:tblPr>
      <w:tblGrid>
        <w:gridCol w:w="10075"/>
      </w:tblGrid>
      <w:tr>
        <w:trPr>
          <w:trHeight w:val="290"/>
        </w:trPr>
        <w:tc>
          <w:tcPr>
            <w:shd w:val="clear" w:color="auto" w:fill="dddddd"/>
            <w:tcBorders>
              <w:top w:val="single" w:color="000000" w:sz="4" w:space="0"/>
              <w:left w:val="single" w:color="000000" w:sz="4" w:space="0"/>
              <w:bottom w:val="single" w:color="000000" w:sz="4" w:space="0"/>
              <w:right w:val="single" w:color="000000" w:sz="4" w:space="0"/>
            </w:tcBorders>
            <w:tcW w:w="10075" w:type="dxa"/>
            <w:textDirection w:val="lrTb"/>
            <w:noWrap w:val="false"/>
          </w:tcPr>
          <w:p w14:paraId="05A4F43F" w14:textId="77777777">
            <w:pPr>
              <w:widowControl w:val="false"/>
              <w:pBdr/>
              <w:spacing/>
              <w:ind/>
              <w:jc w:val="center"/>
              <w:rPr>
                <w:rFonts w:ascii="Arial" w:hAnsi="Arial" w:cs="Arial"/>
              </w:rPr>
            </w:pPr>
            <w:r>
              <w:rPr>
                <w:rFonts w:ascii="Arial" w:hAnsi="Arial" w:cs="Arial"/>
                <w:b/>
                <w:bCs/>
              </w:rPr>
              <w:t xml:space="preserve">23. DO FORO</w:t>
            </w:r>
            <w:r>
              <w:rPr>
                <w:rFonts w:ascii="Arial" w:hAnsi="Arial" w:cs="Arial"/>
              </w:rPr>
            </w:r>
          </w:p>
        </w:tc>
      </w:tr>
    </w:tbl>
    <w:p w14:paraId="009DCD02" w14:textId="77777777">
      <w:pPr>
        <w:pBdr/>
        <w:spacing w:line="360" w:lineRule="auto"/>
        <w:ind/>
        <w:jc w:val="both"/>
        <w:rPr>
          <w:rFonts w:ascii="Arial" w:hAnsi="Arial" w:cs="Arial"/>
        </w:rPr>
      </w:pPr>
      <w:r>
        <w:rPr>
          <w:rFonts w:ascii="Arial" w:hAnsi="Arial" w:cs="Arial"/>
        </w:rPr>
        <w:t xml:space="preserve">23.1. As questões decorrentes da execução do presente instrumento, que não possam ser dirimidas administrativamente, serão processadas e julgadas, no foro da cidade de Rondonópolis – MT, com exclusão de qualquer outro, por mais privilegiado que seja.</w:t>
      </w:r>
      <w:r>
        <w:rPr>
          <w:rFonts w:ascii="Arial" w:hAnsi="Arial" w:cs="Arial"/>
        </w:rPr>
      </w:r>
    </w:p>
    <w:tbl>
      <w:tblPr>
        <w:tblInd w:w="128" w:type="dxa"/>
        <w:tblW w:w="10100" w:type="dxa"/>
        <w:tblBorders/>
        <w:tblLayout w:type="fixed"/>
        <w:tblLook w:val="0000" w:firstRow="0" w:lastRow="0" w:firstColumn="0" w:lastColumn="0" w:noHBand="0" w:noVBand="0"/>
      </w:tblPr>
      <w:tblGrid>
        <w:gridCol w:w="10100"/>
      </w:tblGrid>
      <w:tr>
        <w:trPr>
          <w:trHeight w:val="290"/>
        </w:trPr>
        <w:tc>
          <w:tcPr>
            <w:shd w:val="clear" w:color="auto" w:fill="dddddd"/>
            <w:tcBorders>
              <w:top w:val="single" w:color="000000" w:sz="4" w:space="0"/>
              <w:left w:val="single" w:color="000000" w:sz="4" w:space="0"/>
              <w:bottom w:val="single" w:color="000000" w:sz="4" w:space="0"/>
              <w:right w:val="single" w:color="000000" w:sz="4" w:space="0"/>
            </w:tcBorders>
            <w:tcW w:w="10100" w:type="dxa"/>
            <w:textDirection w:val="lrTb"/>
            <w:noWrap w:val="false"/>
          </w:tcPr>
          <w:p w14:paraId="40CE86D7" w14:textId="77777777">
            <w:pPr>
              <w:widowControl w:val="false"/>
              <w:pBdr/>
              <w:spacing/>
              <w:ind/>
              <w:jc w:val="center"/>
              <w:rPr>
                <w:rFonts w:ascii="Arial" w:hAnsi="Arial" w:cs="Arial"/>
              </w:rPr>
            </w:pPr>
            <w:r>
              <w:rPr>
                <w:rFonts w:ascii="Arial" w:hAnsi="Arial" w:cs="Arial"/>
                <w:b/>
                <w:bCs/>
              </w:rPr>
              <w:t xml:space="preserve">24. DATA E QUADRO DE ASSINATURA</w:t>
            </w:r>
            <w:r>
              <w:rPr>
                <w:rFonts w:ascii="Arial" w:hAnsi="Arial" w:cs="Arial"/>
              </w:rPr>
            </w:r>
          </w:p>
        </w:tc>
      </w:tr>
    </w:tbl>
    <w:p w14:paraId="18BB0ABC" w14:textId="77777777">
      <w:pPr>
        <w:pBdr/>
        <w:spacing/>
        <w:ind/>
        <w:rPr>
          <w:rFonts w:ascii="Arial" w:hAnsi="Arial" w:cs="Arial"/>
        </w:rPr>
      </w:pPr>
      <w:r>
        <w:rPr>
          <w:rFonts w:ascii="Arial" w:hAnsi="Arial" w:cs="Arial"/>
        </w:rPr>
      </w:r>
      <w:r>
        <w:rPr>
          <w:rFonts w:ascii="Arial" w:hAnsi="Arial" w:cs="Arial"/>
        </w:rPr>
      </w:r>
    </w:p>
    <w:p w14:paraId="5A9794A7" w14:textId="77777777">
      <w:pPr>
        <w:pBdr/>
        <w:spacing/>
        <w:ind/>
        <w:rPr>
          <w:rFonts w:ascii="Arial" w:hAnsi="Arial" w:cs="Arial"/>
        </w:rPr>
      </w:pPr>
      <w:r>
        <w:rPr>
          <w:rFonts w:ascii="Arial" w:hAnsi="Arial" w:cs="Arial"/>
        </w:rPr>
      </w:r>
      <w:r>
        <w:rPr>
          <w:rFonts w:ascii="Arial" w:hAnsi="Arial" w:cs="Arial"/>
        </w:rPr>
      </w:r>
    </w:p>
    <w:p w14:paraId="042EBA04" w14:textId="77777777">
      <w:pPr>
        <w:pBdr/>
        <w:spacing/>
        <w:ind/>
        <w:jc w:val="center"/>
        <w:rPr>
          <w:rFonts w:ascii="Arial" w:hAnsi="Arial" w:cs="Arial"/>
        </w:rPr>
      </w:pPr>
      <w:r>
        <w:rPr>
          <w:rFonts w:ascii="Arial" w:hAnsi="Arial" w:cs="Arial"/>
          <w:b/>
          <w:bCs/>
        </w:rPr>
        <w:t xml:space="preserve">FRANCISLENE A.R.CHAVES DUARTE</w:t>
      </w:r>
      <w:r>
        <w:rPr>
          <w:rFonts w:ascii="Arial" w:hAnsi="Arial" w:cs="Arial"/>
        </w:rPr>
      </w:r>
    </w:p>
    <w:p w14:paraId="0FA2DBC9" w14:textId="77777777">
      <w:pPr>
        <w:pBdr/>
        <w:spacing/>
        <w:ind/>
        <w:jc w:val="center"/>
        <w:rPr>
          <w:rFonts w:ascii="Arial" w:hAnsi="Arial" w:cs="Arial"/>
        </w:rPr>
      </w:pPr>
      <w:r>
        <w:rPr>
          <w:rFonts w:ascii="Arial" w:hAnsi="Arial" w:cs="Arial"/>
        </w:rPr>
        <w:t xml:space="preserve">Gerente de Divisão de Suprimentos e Compras</w:t>
      </w:r>
      <w:r>
        <w:rPr>
          <w:rFonts w:ascii="Arial" w:hAnsi="Arial" w:cs="Arial"/>
        </w:rPr>
      </w:r>
    </w:p>
    <w:p w14:paraId="75D66790" w14:textId="77777777">
      <w:pPr>
        <w:pBdr/>
        <w:spacing/>
        <w:ind/>
        <w:rPr>
          <w:rFonts w:ascii="Arial" w:hAnsi="Arial" w:cs="Arial"/>
        </w:rPr>
      </w:pPr>
      <w:r>
        <w:rPr>
          <w:rFonts w:ascii="Arial" w:hAnsi="Arial" w:cs="Arial"/>
        </w:rPr>
      </w:r>
      <w:r>
        <w:rPr>
          <w:rFonts w:ascii="Arial" w:hAnsi="Arial" w:cs="Arial"/>
        </w:rPr>
      </w:r>
    </w:p>
    <w:p w14:paraId="3D4FEC55" w14:textId="77777777">
      <w:pPr>
        <w:pBdr/>
        <w:spacing/>
        <w:ind/>
        <w:rPr>
          <w:rFonts w:ascii="Arial" w:hAnsi="Arial" w:cs="Arial"/>
        </w:rPr>
      </w:pPr>
      <w:r>
        <w:rPr>
          <w:rFonts w:ascii="Arial" w:hAnsi="Arial" w:cs="Arial"/>
        </w:rPr>
      </w:r>
      <w:r>
        <w:rPr>
          <w:rFonts w:ascii="Arial" w:hAnsi="Arial" w:cs="Arial"/>
        </w:rPr>
      </w:r>
    </w:p>
    <w:p w14:paraId="3E2A5DCF" w14:textId="77777777">
      <w:pPr>
        <w:pBdr/>
        <w:spacing/>
        <w:ind/>
        <w:rPr>
          <w:rFonts w:ascii="Arial" w:hAnsi="Arial" w:cs="Arial"/>
        </w:rPr>
      </w:pPr>
      <w:r>
        <w:rPr>
          <w:rFonts w:ascii="Arial" w:hAnsi="Arial" w:cs="Arial"/>
        </w:rPr>
      </w:r>
      <w:r>
        <w:rPr>
          <w:rFonts w:ascii="Arial" w:hAnsi="Arial" w:cs="Arial"/>
        </w:rPr>
      </w:r>
    </w:p>
    <w:p w14:paraId="7A5D9B5F" w14:textId="77777777">
      <w:pPr>
        <w:pBdr/>
        <w:spacing/>
        <w:ind/>
        <w:jc w:val="center"/>
        <w:rPr>
          <w:rFonts w:ascii="Arial" w:hAnsi="Arial" w:cs="Arial"/>
          <w:b/>
          <w:bCs/>
        </w:rPr>
      </w:pPr>
      <w:r>
        <w:rPr>
          <w:rFonts w:ascii="Arial" w:hAnsi="Arial" w:cs="Arial"/>
          <w:b/>
          <w:bCs/>
        </w:rPr>
        <w:t xml:space="preserve">ALESSANDRA FERREIRA CRÓCO DE SOUZA</w:t>
      </w:r>
      <w:r>
        <w:rPr>
          <w:rFonts w:ascii="Arial" w:hAnsi="Arial" w:cs="Arial"/>
          <w:b/>
          <w:bCs/>
        </w:rPr>
      </w:r>
    </w:p>
    <w:p w14:paraId="741E8F28" w14:textId="77777777">
      <w:pPr>
        <w:pBdr/>
        <w:spacing/>
        <w:ind/>
        <w:jc w:val="center"/>
        <w:rPr>
          <w:rFonts w:ascii="Arial" w:hAnsi="Arial" w:cs="Arial"/>
        </w:rPr>
      </w:pPr>
      <w:r>
        <w:rPr>
          <w:rFonts w:ascii="Arial" w:hAnsi="Arial" w:cs="Arial"/>
        </w:rPr>
        <w:t xml:space="preserve">Secretária Municipal de Promoção e Assistência Social</w:t>
      </w:r>
      <w:r>
        <w:rPr>
          <w:rFonts w:ascii="Arial" w:hAnsi="Arial" w:cs="Arial"/>
        </w:rPr>
      </w:r>
      <w:r>
        <w:rPr>
          <w:rFonts w:ascii="Arial" w:cs="Arial"/>
        </w:rPr>
      </w:r>
      <w:r>
        <w:rPr>
          <w:rFonts w:ascii="Arial" w:cs="Arial"/>
        </w:rPr>
      </w:r>
      <w:r>
        <w:rPr>
          <w:rFonts w:ascii="Arial" w:hAnsi="Arial" w:cs="Arial"/>
        </w:rPr>
      </w:r>
      <w:r/>
      <w:r>
        <w:rPr>
          <w:rFonts w:ascii="Arial" w:cs="Arial"/>
        </w:rPr>
      </w:r>
      <w:r/>
      <w:r>
        <w:rPr>
          <w:rFonts w:ascii="Arial" w:hAnsi="Arial" w:cs="Arial"/>
        </w:rPr>
      </w:r>
    </w:p>
    <w:p w14:paraId="276133B1" w14:textId="77777777">
      <w:pPr>
        <w:pageBreakBefore w:val="true"/>
        <w:pBdr/>
        <w:spacing/>
        <w:ind/>
        <w:jc w:val="both"/>
        <w:rPr>
          <w:rFonts w:ascii="Arial" w:cs="Arial"/>
          <w:b/>
          <w:color w:val="000000"/>
          <w:sz w:val="19"/>
          <w:szCs w:val="19"/>
        </w:rPr>
      </w:pPr>
      <w:r>
        <w:rPr>
          <w:rFonts w:ascii="Arial" w:cs="Arial"/>
          <w:b/>
          <w:color w:val="000000"/>
          <w:sz w:val="19"/>
          <w:szCs w:val="19"/>
        </w:rPr>
      </w:r>
      <w:r>
        <w:rPr>
          <w:rFonts w:ascii="Arial" w:cs="Arial"/>
          <w:b/>
          <w:color w:val="000000"/>
          <w:sz w:val="19"/>
          <w:szCs w:val="19"/>
        </w:rPr>
      </w:r>
    </w:p>
    <w:p w14:paraId="5708D229" w14:textId="77777777">
      <w:pPr>
        <w:pStyle w:val="873"/>
        <w:pBdr/>
        <w:spacing w:after="0" w:before="0"/>
        <w:ind/>
        <w:jc w:val="center"/>
        <w:rPr>
          <w:lang w:val="pt-BR"/>
        </w:rPr>
      </w:pPr>
      <w:r/>
      <w:bookmarkStart w:id="91" w:name="_Toc31860"/>
      <w:r>
        <w:rPr>
          <w:sz w:val="20"/>
          <w:szCs w:val="20"/>
          <w:lang w:val="pt-BR"/>
        </w:rPr>
        <w:t xml:space="preserve">ANEXO II: MINUTA DA ATA DE REGISTRO DE PREÇOS.</w:t>
      </w:r>
      <w:bookmarkEnd w:id="91"/>
      <w:r/>
      <w:r>
        <w:rPr>
          <w:lang w:val="pt-BR"/>
        </w:rPr>
      </w:r>
    </w:p>
    <w:p w14:paraId="087345F7" w14:textId="77777777">
      <w:pPr>
        <w:pBdr/>
        <w:spacing/>
        <w:ind/>
        <w:rPr>
          <w:rFonts w:ascii="Arial" w:cs="Arial"/>
        </w:rPr>
      </w:pPr>
      <w:r>
        <w:rPr>
          <w:rFonts w:ascii="Arial" w:cs="Arial"/>
        </w:rPr>
      </w:r>
      <w:r>
        <w:rPr>
          <w:rFonts w:ascii="Arial" w:cs="Arial"/>
        </w:rPr>
      </w:r>
    </w:p>
    <w:p w14:paraId="494FCAC1" w14:textId="63F854AB">
      <w:pPr>
        <w:pBdr/>
        <w:spacing/>
        <w:ind/>
        <w:jc w:val="center"/>
        <w:rPr/>
      </w:pPr>
      <w:r>
        <w:rPr>
          <w:rFonts w:ascii="Arial" w:hAnsi="Arial" w:cs="Arial"/>
          <w:b/>
          <w:color w:val="000000"/>
        </w:rPr>
        <w:t xml:space="preserve">ATA DE REGISTRO DE PREÇOS Nº. XX/202</w:t>
      </w:r>
      <w:r>
        <w:rPr>
          <w:rFonts w:ascii="Arial" w:hAnsi="Arial" w:cs="Arial"/>
          <w:b/>
          <w:color w:val="000000"/>
        </w:rPr>
        <w:t xml:space="preserve">6</w:t>
      </w:r>
      <w:r>
        <w:rPr>
          <w:rFonts w:ascii="Arial" w:hAnsi="Arial" w:cs="Arial"/>
          <w:b/>
          <w:color w:val="000000"/>
        </w:rPr>
        <w:t xml:space="preserve">.</w:t>
      </w:r>
      <w:r/>
    </w:p>
    <w:p w14:paraId="15222688" w14:textId="77777777">
      <w:pPr>
        <w:pBdr/>
        <w:spacing/>
        <w:ind/>
        <w:jc w:val="center"/>
        <w:rPr>
          <w:rFonts w:ascii="Arial" w:cs="Arial"/>
          <w:b/>
          <w:color w:val="000000"/>
        </w:rPr>
      </w:pPr>
      <w:r>
        <w:rPr>
          <w:rFonts w:ascii="Arial" w:cs="Arial"/>
          <w:b/>
          <w:color w:val="000000"/>
        </w:rPr>
      </w:r>
      <w:r>
        <w:rPr>
          <w:rFonts w:ascii="Arial" w:cs="Arial"/>
          <w:b/>
          <w:color w:val="000000"/>
        </w:rPr>
      </w:r>
    </w:p>
    <w:p w14:paraId="5A2CEFC5" w14:textId="4CE5687C">
      <w:pPr>
        <w:pBdr/>
        <w:spacing w:line="276" w:lineRule="auto"/>
        <w:ind/>
        <w:rPr/>
      </w:pPr>
      <w:r>
        <w:rPr>
          <w:rFonts w:ascii="Arial" w:hAnsi="Arial" w:cs="Arial"/>
          <w:b/>
          <w:color w:val="000000"/>
        </w:rPr>
        <w:t xml:space="preserve">PREGÃO ELETRÔNICO Nº. </w:t>
      </w:r>
      <w:r>
        <w:rPr>
          <w:rFonts w:ascii="Arial" w:hAnsi="Arial" w:cs="Arial"/>
          <w:b/>
          <w:color w:val="000000"/>
        </w:rPr>
        <w:t xml:space="preserve">14</w:t>
      </w:r>
      <w:r>
        <w:rPr>
          <w:rFonts w:ascii="Arial" w:hAnsi="Arial" w:cs="Arial"/>
          <w:b/>
          <w:color w:val="000000"/>
        </w:rPr>
        <w:t xml:space="preserve">/202</w:t>
      </w:r>
      <w:r>
        <w:rPr>
          <w:rFonts w:ascii="Arial" w:hAnsi="Arial" w:cs="Arial"/>
          <w:b/>
          <w:color w:val="000000"/>
        </w:rPr>
        <w:t xml:space="preserve">6</w:t>
      </w:r>
      <w:r>
        <w:rPr>
          <w:rFonts w:ascii="Arial" w:hAnsi="Arial" w:cs="Arial"/>
          <w:b/>
          <w:color w:val="000000"/>
        </w:rPr>
        <w:t xml:space="preserve">.</w:t>
      </w:r>
      <w:r/>
    </w:p>
    <w:p w14:paraId="08F73388" w14:textId="26356DBB">
      <w:pPr>
        <w:pBdr/>
        <w:spacing/>
        <w:ind/>
        <w:rPr/>
      </w:pPr>
      <w:r>
        <w:rPr>
          <w:rFonts w:ascii="Arial" w:hAnsi="Arial" w:cs="Arial"/>
          <w:b/>
        </w:rPr>
        <w:t xml:space="preserve">PROCESSO DE COMPRA Nº xx/202</w:t>
      </w:r>
      <w:r>
        <w:rPr>
          <w:rFonts w:ascii="Arial" w:hAnsi="Arial" w:cs="Arial"/>
          <w:b/>
        </w:rPr>
        <w:t xml:space="preserve">6</w:t>
      </w:r>
      <w:r>
        <w:rPr>
          <w:rFonts w:ascii="Arial" w:hAnsi="Arial" w:cs="Arial"/>
          <w:b/>
        </w:rPr>
        <w:t xml:space="preserve">.</w:t>
      </w:r>
      <w:r/>
    </w:p>
    <w:p w14:paraId="0E80AF84" w14:textId="77777777">
      <w:pPr>
        <w:pBdr/>
        <w:spacing/>
        <w:ind/>
        <w:jc w:val="both"/>
        <w:rPr>
          <w:rFonts w:ascii="Arial" w:cs="Arial"/>
          <w:b/>
          <w:sz w:val="22"/>
          <w:szCs w:val="22"/>
        </w:rPr>
      </w:pPr>
      <w:r>
        <w:rPr>
          <w:rFonts w:ascii="Arial" w:cs="Arial"/>
          <w:b/>
          <w:sz w:val="22"/>
          <w:szCs w:val="22"/>
        </w:rPr>
      </w:r>
      <w:r>
        <w:rPr>
          <w:rFonts w:ascii="Arial" w:cs="Arial"/>
          <w:b/>
          <w:sz w:val="22"/>
          <w:szCs w:val="22"/>
        </w:rPr>
      </w:r>
    </w:p>
    <w:p w14:paraId="79DA1CE3"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O Município de Rondonópolis-Estado de Mato Grosso,</w:t>
      </w:r>
      <w:r>
        <w:rPr>
          <w:rFonts w:ascii="Arial" w:hAnsi="Arial" w:cs="Arial"/>
        </w:rPr>
        <w:t xml:space="preserve"> pessoa jurídica de direito público, com sede à Avenida Duque de Caxias n.º 1.000, Bairro: Vila Aurora, inscrita no CNPJ/MF. sob nº 03.347.101/0001-21, através da </w:t>
      </w:r>
      <w:r>
        <w:rPr>
          <w:rFonts w:ascii="Arial" w:hAnsi="Arial" w:cs="Arial"/>
          <w:b/>
        </w:rPr>
        <w:t xml:space="preserve">Secretaria Municipal de XXXXXX</w:t>
      </w:r>
      <w:r>
        <w:rPr>
          <w:rFonts w:ascii="Arial" w:hAnsi="Arial" w:cs="Arial"/>
        </w:rPr>
        <w:t xml:space="preserve">, neste ato representada pela </w:t>
      </w:r>
      <w:r>
        <w:rPr>
          <w:rFonts w:ascii="Arial" w:hAnsi="Arial" w:cs="Arial"/>
          <w:b/>
        </w:rPr>
        <w:t xml:space="preserve">Sr.(a) XXXXXXXXX</w:t>
      </w:r>
      <w:r>
        <w:rPr>
          <w:rFonts w:ascii="Arial" w:hAnsi="Arial" w:cs="Arial"/>
        </w:rPr>
        <w:t xml:space="preserve">, doravante denominada simplesmente </w:t>
      </w:r>
      <w:r>
        <w:rPr>
          <w:rFonts w:ascii="Arial" w:hAnsi="Arial" w:cs="Arial"/>
          <w:b/>
        </w:rPr>
        <w:t xml:space="preserve">Órgão Gerenciador</w:t>
      </w:r>
      <w:r>
        <w:rPr>
          <w:rFonts w:ascii="Arial" w:hAnsi="Arial" w:cs="Arial"/>
        </w:rPr>
        <w:t xml:space="preserve">, </w:t>
      </w:r>
      <w:r>
        <w:rPr>
          <w:rFonts w:ascii="Arial" w:hAnsi="Arial" w:cs="Arial"/>
          <w:b/>
        </w:rPr>
        <w:t xml:space="preserve">Resolve registrar os preços</w:t>
      </w:r>
      <w:r>
        <w:rPr>
          <w:rFonts w:ascii="Arial" w:hAnsi="Arial" w:cs="Arial"/>
        </w:rPr>
        <w:t xml:space="preserve"> das empresas abaixo relacionadas, doravante denominadas simplesmente </w:t>
      </w:r>
      <w:r>
        <w:rPr>
          <w:rFonts w:ascii="Arial" w:hAnsi="Arial" w:cs="Arial"/>
          <w:b/>
        </w:rPr>
        <w:t xml:space="preserve">Fornecedores Registrados</w:t>
      </w:r>
      <w:r>
        <w:rPr>
          <w:rFonts w:ascii="Arial" w:hAnsi="Arial" w:cs="Arial"/>
        </w:rPr>
        <w:t xml:space="preserve">, de acordo com a classificação por elas alcançadas nos itens abaixo relacionados, tendo em vista que, atenderam todas as condições previstas no edital e seus anexos</w:t>
      </w:r>
      <w:r>
        <w:rPr>
          <w:rFonts w:ascii="Arial" w:hAnsi="Arial" w:cs="Arial"/>
          <w:b/>
        </w:rPr>
        <w:t xml:space="preserve">, </w:t>
      </w:r>
      <w:r>
        <w:rPr>
          <w:rFonts w:ascii="Arial" w:hAnsi="Arial" w:cs="Arial"/>
        </w:rPr>
        <w:t xml:space="preserve">com fundamento na Lei nº 14.133/2021, Decreto Municipal n.º 11.685, de 18 de setembro de 2023, Lei Complementar n.º 123/2006 e demais legislações correlatadas, resolvem celebrar o presente instrumento, mediante as cláusulas e condições a seguir:</w:t>
      </w:r>
      <w:r/>
    </w:p>
    <w:p w14:paraId="3F932AAC" w14:textId="77777777">
      <w:pPr>
        <w:pBdr/>
        <w:spacing w:line="276" w:lineRule="auto"/>
        <w:ind/>
        <w:jc w:val="both"/>
        <w:rPr>
          <w:rFonts w:ascii="Arial" w:cs="Arial"/>
        </w:rPr>
      </w:pPr>
      <w:r>
        <w:rPr>
          <w:rFonts w:ascii="Arial" w:cs="Arial"/>
        </w:rPr>
      </w:r>
      <w:r>
        <w:rPr>
          <w:rFonts w:ascii="Arial" w:cs="Arial"/>
        </w:rPr>
      </w:r>
    </w:p>
    <w:p w14:paraId="0BD8EC38" w14:textId="77777777">
      <w:pPr>
        <w:widowControl w:val="false"/>
        <w:pBdr/>
        <w:tabs>
          <w:tab w:val="center" w:leader="none" w:pos="4779"/>
          <w:tab w:val="right" w:leader="none" w:pos="9198"/>
        </w:tabs>
        <w:spacing/>
        <w:ind w:right="-28"/>
        <w:jc w:val="both"/>
        <w:rPr/>
      </w:pPr>
      <w:r>
        <w:rPr>
          <w:rFonts w:ascii="Arial" w:hAnsi="Arial" w:cs="Arial"/>
          <w:b/>
        </w:rPr>
        <w:t xml:space="preserve">1. DO OBJETO:</w:t>
      </w:r>
      <w:r/>
    </w:p>
    <w:p w14:paraId="1BEACAC1" w14:textId="77777777">
      <w:pPr>
        <w:widowControl w:val="false"/>
        <w:pBdr/>
        <w:tabs>
          <w:tab w:val="center" w:leader="none" w:pos="4779"/>
          <w:tab w:val="right" w:leader="none" w:pos="9198"/>
        </w:tabs>
        <w:spacing/>
        <w:ind w:right="-28"/>
        <w:jc w:val="both"/>
        <w:rPr>
          <w:rFonts w:ascii="Arial" w:cs="Arial"/>
          <w:b/>
        </w:rPr>
      </w:pPr>
      <w:r>
        <w:rPr>
          <w:rFonts w:ascii="Arial" w:cs="Arial"/>
          <w:b/>
        </w:rPr>
      </w:r>
      <w:r>
        <w:rPr>
          <w:rFonts w:ascii="Arial" w:cs="Arial"/>
          <w:b/>
        </w:rPr>
      </w:r>
    </w:p>
    <w:p w14:paraId="1971209D" w14:textId="720DE338">
      <w:pPr>
        <w:pBdr/>
        <w:spacing/>
        <w:ind/>
        <w:jc w:val="both"/>
        <w:rPr/>
      </w:pPr>
      <w:r>
        <w:rPr>
          <w:rFonts w:ascii="Arial" w:hAnsi="Arial" w:cs="Arial"/>
          <w:b/>
        </w:rPr>
        <w:t xml:space="preserve">1.1.</w:t>
      </w:r>
      <w:r>
        <w:rPr>
          <w:rFonts w:ascii="Arial" w:hAnsi="Arial" w:cs="Arial"/>
        </w:rPr>
        <w:t xml:space="preserve"> A presente Ata tem por objeto o </w:t>
      </w:r>
      <w:r>
        <w:rPr>
          <w:rFonts w:ascii="Arial" w:hAnsi="Arial" w:cs="Arial"/>
          <w:b/>
          <w:i/>
        </w:rPr>
        <w:t xml:space="preserve">Registro de Preços para futura e eventual contratação de empresa especializada na prestação de serviços de administração, gerenciamento e operacionalização de cartões </w:t>
      </w:r>
      <w:r>
        <w:rPr>
          <w:rFonts w:ascii="Arial" w:hAnsi="Arial" w:cs="Arial"/>
          <w:b/>
          <w:i/>
        </w:rPr>
        <w:t xml:space="preserve">magnéticos ou eletrônicos com tecnologia apropriada, destinados ao processamento, disponibilização e controle de créditos eletrônicos, bem como ao credenciamento, gestão e manutenção de rede de fornecedores aptos ao fornecimento dos itens vinculados ao Ben</w:t>
      </w:r>
      <w:r>
        <w:rPr>
          <w:rFonts w:ascii="Arial" w:hAnsi="Arial" w:cs="Arial"/>
          <w:b/>
          <w:i/>
        </w:rPr>
        <w:t xml:space="preserve">efício Eventual  Auxílio Natalidade, a ser concedido às famílias em situação de vulnerabilidade social atendidas pela Secretaria Municipal de Promoção e Assistência Social, conforme condições, especificações e quantitativos estabelecidos neste instrumento.</w:t>
      </w:r>
      <w:r/>
    </w:p>
    <w:p w14:paraId="23FCD9FD" w14:textId="77777777">
      <w:pPr>
        <w:pBdr/>
        <w:spacing/>
        <w:ind/>
        <w:jc w:val="both"/>
        <w:rPr>
          <w:rFonts w:ascii="Arial" w:cs="Arial"/>
        </w:rPr>
      </w:pPr>
      <w:r>
        <w:rPr>
          <w:rFonts w:ascii="Arial" w:cs="Arial"/>
        </w:rPr>
      </w:r>
      <w:r>
        <w:rPr>
          <w:rFonts w:ascii="Arial" w:cs="Arial"/>
        </w:rPr>
      </w:r>
    </w:p>
    <w:p w14:paraId="3643862B"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SEGUNDA – DA VIGÊNCIA da ARP e do CONTRATO:</w:t>
      </w:r>
      <w:r/>
    </w:p>
    <w:p w14:paraId="577EEF7E" w14:textId="77777777">
      <w:pPr>
        <w:widowControl w:val="false"/>
        <w:pBdr/>
        <w:tabs>
          <w:tab w:val="center" w:leader="none" w:pos="4779"/>
          <w:tab w:val="right" w:leader="none" w:pos="9198"/>
        </w:tabs>
        <w:spacing w:line="276" w:lineRule="auto"/>
        <w:ind w:right="-28"/>
        <w:jc w:val="both"/>
        <w:rPr>
          <w:rFonts w:ascii="Arial" w:cs="Arial"/>
          <w:b/>
        </w:rPr>
      </w:pPr>
      <w:r>
        <w:rPr>
          <w:rFonts w:ascii="Arial" w:cs="Arial"/>
          <w:b/>
        </w:rPr>
      </w:r>
      <w:r>
        <w:rPr>
          <w:rFonts w:ascii="Arial" w:cs="Arial"/>
          <w:b/>
        </w:rPr>
      </w:r>
    </w:p>
    <w:p w14:paraId="69278510" w14:textId="7F547265">
      <w:pPr>
        <w:pBdr/>
        <w:spacing/>
        <w:ind/>
        <w:jc w:val="both"/>
        <w:rPr>
          <w:rFonts w:ascii="Arial" w:cs="Arial"/>
          <w:highlight w:val="white"/>
        </w:rPr>
      </w:pPr>
      <w:r>
        <w:rPr>
          <w:rFonts w:ascii="Arial" w:hAnsi="Arial" w:cs="Arial"/>
          <w:b/>
        </w:rPr>
        <w:t xml:space="preserve">2.1.</w:t>
      </w:r>
      <w:r>
        <w:rPr>
          <w:rFonts w:ascii="Arial" w:hAnsi="Arial" w:cs="Arial"/>
        </w:rPr>
        <w:t xml:space="preserve"> </w:t>
      </w:r>
      <w:r>
        <w:rPr>
          <w:rFonts w:ascii="Arial" w:hAnsi="Arial" w:cs="Arial"/>
        </w:rPr>
        <w:t xml:space="preserve">Em conformidade com o disposto no Decreto Municipal nº 11.685/2023, especialmente após a alteração promovida pelo art. 1º, que conferiu nova redação ao ar</w:t>
      </w:r>
      <w:r>
        <w:rPr>
          <w:rFonts w:ascii="Arial" w:hAnsi="Arial" w:cs="Arial"/>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cs="Arial"/>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rPr>
        <w:br/>
      </w:r>
      <w:r>
        <w:rPr>
          <w:rFonts w:ascii="Arial" w:cs="Arial"/>
          <w:highlight w:val="white"/>
        </w:rPr>
      </w:r>
    </w:p>
    <w:p w14:paraId="2C289FF0" w14:textId="77777777">
      <w:pPr>
        <w:pBdr/>
        <w:spacing/>
        <w:ind/>
        <w:jc w:val="both"/>
        <w:rPr/>
      </w:pPr>
      <w:r>
        <w:rPr>
          <w:rFonts w:ascii="Arial" w:hAnsi="Arial" w:cs="Arial"/>
          <w:b/>
        </w:rPr>
        <w:t xml:space="preserve">2.2.</w:t>
      </w:r>
      <w:r>
        <w:rPr>
          <w:rFonts w:ascii="Arial" w:hAnsi="Arial" w:cs="Arial"/>
        </w:rPr>
        <w:t xml:space="preserve"> O contrato decorrente da presente ata terá a vigência, modelo de gestão e demais aspectos alusivos à contratos estipulados, conforme Termo de Referência (anexo I).</w:t>
      </w:r>
      <w:r/>
    </w:p>
    <w:p w14:paraId="2D8C8DF5" w14:textId="77777777">
      <w:pPr>
        <w:widowControl w:val="false"/>
        <w:pBdr/>
        <w:tabs>
          <w:tab w:val="center" w:leader="none" w:pos="4779"/>
          <w:tab w:val="right" w:leader="none" w:pos="9198"/>
        </w:tabs>
        <w:spacing w:line="276" w:lineRule="auto"/>
        <w:ind w:right="-28"/>
        <w:jc w:val="both"/>
        <w:rPr>
          <w:rFonts w:ascii="Arial" w:cs="Arial"/>
          <w:b/>
        </w:rPr>
      </w:pPr>
      <w:r>
        <w:rPr>
          <w:rFonts w:ascii="Arial" w:cs="Arial"/>
          <w:b/>
        </w:rPr>
      </w:r>
      <w:r>
        <w:rPr>
          <w:rFonts w:ascii="Arial" w:cs="Arial"/>
          <w:b/>
        </w:rPr>
      </w:r>
    </w:p>
    <w:p w14:paraId="042ECCB2"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TERCEIRA – DO PREÇO REGISTRADO E DA DIFERENÇA PERCENTUAL:</w:t>
      </w:r>
      <w:r/>
    </w:p>
    <w:p w14:paraId="126F703B" w14:textId="77777777">
      <w:pPr>
        <w:widowControl w:val="false"/>
        <w:pBdr/>
        <w:tabs>
          <w:tab w:val="center" w:leader="none" w:pos="4779"/>
          <w:tab w:val="right" w:leader="none" w:pos="9198"/>
        </w:tabs>
        <w:spacing w:line="276" w:lineRule="auto"/>
        <w:ind w:right="-28"/>
        <w:jc w:val="both"/>
        <w:rPr>
          <w:rFonts w:ascii="Arial" w:cs="Arial"/>
        </w:rPr>
      </w:pPr>
      <w:r>
        <w:rPr>
          <w:rFonts w:ascii="Arial" w:cs="Arial"/>
        </w:rPr>
      </w:r>
      <w:r>
        <w:rPr>
          <w:rFonts w:ascii="Arial" w:cs="Arial"/>
        </w:rPr>
      </w:r>
    </w:p>
    <w:p w14:paraId="58313750"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3.1.</w:t>
      </w:r>
      <w:r>
        <w:rPr>
          <w:rFonts w:ascii="Arial" w:hAnsi="Arial" w:cs="Arial"/>
        </w:rPr>
        <w:t xml:space="preserve"> O(s) preço(s), a(s) marca(s), a(s) quantidade(s) e a(s) especificação(ões) do(s) serviço/produto(s) a ser(em) fornecido(s) encontram-se indicados no (Anexo II </w:t>
      </w:r>
      <w:r>
        <w:rPr>
          <w:rFonts w:ascii="Arial" w:hAnsi="Arial" w:cs="Arial"/>
          <w:color w:val="231f20"/>
        </w:rPr>
        <w:t xml:space="preserve">Informações sobre os produtos/serviço registrados)</w:t>
      </w:r>
      <w:r>
        <w:rPr>
          <w:rFonts w:ascii="Arial" w:hAnsi="Arial" w:cs="Arial"/>
        </w:rPr>
        <w:t xml:space="preserve"> desta ARP.</w:t>
      </w:r>
      <w:r/>
    </w:p>
    <w:p w14:paraId="7323D485" w14:textId="77777777">
      <w:pPr>
        <w:widowControl w:val="false"/>
        <w:pBdr/>
        <w:tabs>
          <w:tab w:val="center" w:leader="none" w:pos="4779"/>
          <w:tab w:val="right" w:leader="none" w:pos="9198"/>
        </w:tabs>
        <w:spacing w:line="276" w:lineRule="auto"/>
        <w:ind w:right="-28"/>
        <w:jc w:val="both"/>
        <w:rPr>
          <w:rFonts w:ascii="Arial" w:cs="Arial"/>
        </w:rPr>
      </w:pPr>
      <w:r>
        <w:rPr>
          <w:rFonts w:ascii="Arial" w:cs="Arial"/>
        </w:rPr>
      </w:r>
      <w:r>
        <w:rPr>
          <w:rFonts w:ascii="Arial" w:cs="Arial"/>
        </w:rPr>
      </w:r>
    </w:p>
    <w:p w14:paraId="409CF810"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3.2.</w:t>
      </w:r>
      <w:r>
        <w:rPr>
          <w:rFonts w:ascii="Arial" w:hAnsi="Arial" w:cs="Arial"/>
        </w:rPr>
        <w:t xml:space="preserve"> A(s) diferença(s</w:t>
      </w:r>
      <w:r>
        <w:rPr>
          <w:rFonts w:ascii="Arial" w:hAnsi="Arial" w:cs="Arial"/>
        </w:rPr>
        <w:t xml:space="preserve">) percentual(is) entre o(s) valor(es) unitário(s) registrado(s) e o(s) valor(es) pesquisado(s) de cada produto/serviço, a(s) qual(is) deve(m), preferencialmente, ser(em) mantida(s) durante a vigência desta Ata, também está(ão) especificada(s) no (Anexo II </w:t>
      </w:r>
      <w:r>
        <w:rPr>
          <w:rFonts w:ascii="Arial" w:hAnsi="Arial" w:cs="Arial"/>
          <w:color w:val="231f20"/>
        </w:rPr>
        <w:t xml:space="preserve">Informações sobre os serviço/produtos registrados) </w:t>
      </w:r>
      <w:r>
        <w:rPr>
          <w:rFonts w:ascii="Arial" w:hAnsi="Arial" w:cs="Arial"/>
        </w:rPr>
        <w:t xml:space="preserve">desta ARP.</w:t>
      </w:r>
      <w:r/>
    </w:p>
    <w:p w14:paraId="60E5607E" w14:textId="77777777">
      <w:pPr>
        <w:widowControl w:val="false"/>
        <w:pBdr/>
        <w:tabs>
          <w:tab w:val="center" w:leader="none" w:pos="4779"/>
          <w:tab w:val="right" w:leader="none" w:pos="9198"/>
        </w:tabs>
        <w:spacing w:line="276" w:lineRule="auto"/>
        <w:ind w:right="-28"/>
        <w:jc w:val="both"/>
        <w:rPr>
          <w:rFonts w:ascii="Arial" w:cs="Arial"/>
        </w:rPr>
      </w:pPr>
      <w:r>
        <w:rPr>
          <w:rFonts w:ascii="Arial" w:cs="Arial"/>
        </w:rPr>
      </w:r>
      <w:r>
        <w:rPr>
          <w:rFonts w:ascii="Arial" w:cs="Arial"/>
        </w:rPr>
      </w:r>
    </w:p>
    <w:p w14:paraId="5AB3A414"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QUARTA – DO VALOR:</w:t>
      </w:r>
      <w:r/>
    </w:p>
    <w:p w14:paraId="38AA7918" w14:textId="77777777">
      <w:pPr>
        <w:widowControl w:val="false"/>
        <w:pBdr/>
        <w:tabs>
          <w:tab w:val="center" w:leader="none" w:pos="4779"/>
          <w:tab w:val="right" w:leader="none" w:pos="9198"/>
        </w:tabs>
        <w:spacing w:line="276" w:lineRule="auto"/>
        <w:ind w:right="-28"/>
        <w:jc w:val="both"/>
        <w:rPr>
          <w:rFonts w:ascii="Arial" w:cs="Arial"/>
        </w:rPr>
      </w:pPr>
      <w:r>
        <w:rPr>
          <w:rFonts w:ascii="Arial" w:cs="Arial"/>
        </w:rPr>
      </w:r>
      <w:r>
        <w:rPr>
          <w:rFonts w:ascii="Arial" w:cs="Arial"/>
        </w:rPr>
      </w:r>
    </w:p>
    <w:p w14:paraId="7EF461C9"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4.1.</w:t>
      </w:r>
      <w:r>
        <w:rPr>
          <w:rFonts w:ascii="Arial" w:hAnsi="Arial" w:cs="Arial"/>
        </w:rPr>
        <w:t xml:space="preserve"> O valor total estimado para as aquisições decorrentes da presente ARP perfaz o montante de R$ XXXXXXXXXX.</w:t>
      </w:r>
      <w:r/>
    </w:p>
    <w:p w14:paraId="57B195A5"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QUINTA:</w:t>
      </w:r>
      <w:r/>
    </w:p>
    <w:p w14:paraId="52C6B9A7" w14:textId="77777777">
      <w:pPr>
        <w:widowControl w:val="false"/>
        <w:pBdr/>
        <w:tabs>
          <w:tab w:val="center" w:leader="none" w:pos="4779"/>
          <w:tab w:val="right" w:leader="none" w:pos="9198"/>
        </w:tabs>
        <w:spacing w:line="276" w:lineRule="auto"/>
        <w:ind w:right="-28"/>
        <w:jc w:val="both"/>
        <w:rPr>
          <w:rFonts w:ascii="Arial" w:cs="Arial"/>
          <w:b/>
        </w:rPr>
      </w:pPr>
      <w:r>
        <w:rPr>
          <w:rFonts w:ascii="Arial" w:cs="Arial"/>
          <w:b/>
        </w:rPr>
      </w:r>
      <w:r>
        <w:rPr>
          <w:rFonts w:ascii="Arial" w:cs="Arial"/>
          <w:b/>
        </w:rPr>
      </w:r>
    </w:p>
    <w:p w14:paraId="2CCD144F"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5.1. DO(S) ÓRGÃO(S) PARTICIPANTE(S): </w:t>
      </w:r>
      <w:r/>
    </w:p>
    <w:p w14:paraId="5290EFF8" w14:textId="77777777">
      <w:pPr>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5.1.1. </w:t>
      </w:r>
      <w:r>
        <w:rPr>
          <w:rFonts w:ascii="Arial" w:hAnsi="Arial" w:cs="Arial"/>
        </w:rPr>
        <w:t xml:space="preserve">A presente ARP é para suprir demandas dos órgãos e entidades municipal, abaixo citados:</w:t>
      </w:r>
      <w:r>
        <w:rPr>
          <w:rFonts w:ascii="Arial" w:hAnsi="Arial" w:cs="Arial"/>
        </w:rPr>
      </w:r>
    </w:p>
    <w:p w14:paraId="50DFC14E" w14:textId="77777777">
      <w:pPr>
        <w:widowControl w:val="false"/>
        <w:pBdr/>
        <w:tabs>
          <w:tab w:val="center" w:leader="none" w:pos="4779"/>
          <w:tab w:val="right" w:leader="none" w:pos="9198"/>
        </w:tabs>
        <w:spacing w:line="276" w:lineRule="auto"/>
        <w:ind w:right="-28"/>
        <w:jc w:val="both"/>
        <w:rPr/>
      </w:pPr>
      <w:r/>
      <w:r/>
    </w:p>
    <w:tbl>
      <w:tblPr>
        <w:tblInd w:w="-228" w:type="dxa"/>
        <w:tblW w:w="4810" w:type="pct"/>
        <w:tblBorders/>
        <w:tblLook w:val="04A0" w:firstRow="1" w:lastRow="0" w:firstColumn="1" w:lastColumn="0" w:noHBand="0" w:noVBand="1"/>
      </w:tblPr>
      <w:tblGrid>
        <w:gridCol w:w="9675"/>
      </w:tblGrid>
      <w:tr>
        <w:trPr>
          <w:trHeight w:val="240"/>
        </w:trPr>
        <w:tc>
          <w:tcPr>
            <w:tcBorders>
              <w:top w:val="single" w:color="000000" w:sz="2" w:space="0"/>
              <w:left w:val="single" w:color="000000" w:sz="2" w:space="0"/>
              <w:bottom w:val="single" w:color="000000" w:sz="2" w:space="0"/>
              <w:right w:val="single" w:color="000000" w:sz="2" w:space="0"/>
            </w:tcBorders>
            <w:tcW w:w="5000" w:type="pct"/>
            <w:vAlign w:val="center"/>
            <w:textDirection w:val="lrTb"/>
            <w:noWrap/>
          </w:tcPr>
          <w:p w14:paraId="1D52CBB2" w14:textId="3307B87C">
            <w:pPr>
              <w:pBdr/>
              <w:spacing/>
              <w:ind/>
              <w:jc w:val="center"/>
              <w:rPr>
                <w:rFonts w:ascii="Calibri" w:cs="Calibri"/>
                <w:color w:val="000000"/>
                <w:sz w:val="18"/>
                <w:szCs w:val="18"/>
              </w:rPr>
            </w:pPr>
            <w:r>
              <w:rPr>
                <w:rFonts w:ascii="Calibri" w:hAnsi="Calibri" w:cs="Calibri"/>
                <w:color w:val="000000"/>
                <w:sz w:val="22"/>
                <w:szCs w:val="22"/>
                <w:lang w:val="en-US" w:eastAsia="zh-CN" w:bidi="ar"/>
              </w:rPr>
              <w:t xml:space="preserve">SECRETARIA:</w:t>
            </w:r>
            <w:r>
              <w:rPr>
                <w:rFonts w:ascii="Calibri" w:cs="Calibri"/>
                <w:color w:val="000000"/>
                <w:sz w:val="18"/>
                <w:szCs w:val="18"/>
              </w:rPr>
            </w:r>
          </w:p>
        </w:tc>
      </w:tr>
      <w:tr>
        <w:trPr>
          <w:trHeight w:val="240"/>
        </w:trPr>
        <w:tc>
          <w:tcPr>
            <w:tcBorders>
              <w:top w:val="single" w:color="000000" w:sz="2" w:space="0"/>
              <w:left w:val="single" w:color="000000" w:sz="2" w:space="0"/>
              <w:bottom w:val="single" w:color="000000" w:sz="2" w:space="0"/>
              <w:right w:val="single" w:color="000000" w:sz="2" w:space="0"/>
            </w:tcBorders>
            <w:tcW w:w="5000" w:type="pct"/>
            <w:vAlign w:val="center"/>
            <w:textDirection w:val="lrTb"/>
            <w:noWrap/>
          </w:tcPr>
          <w:p w14:paraId="0BCDC809" w14:textId="77777777">
            <w:pPr>
              <w:pBdr/>
              <w:spacing/>
              <w:ind/>
              <w:jc w:val="center"/>
              <w:rPr>
                <w:rFonts w:ascii="Calibri" w:cs="Calibri"/>
                <w:color w:val="000000"/>
                <w:sz w:val="18"/>
                <w:szCs w:val="18"/>
              </w:rPr>
            </w:pPr>
            <w:r>
              <w:rPr>
                <w:rFonts w:ascii="Calibri" w:hAnsi="Calibri" w:cs="Calibri"/>
                <w:color w:val="000000"/>
                <w:sz w:val="22"/>
                <w:szCs w:val="22"/>
                <w:lang w:eastAsia="zh-CN" w:bidi="ar"/>
              </w:rPr>
              <w:t xml:space="preserve">SECRETARIA MUNICIPAL DE PROCOMOÇÃO E ASS SOCIAL </w:t>
            </w:r>
            <w:r>
              <w:rPr>
                <w:rFonts w:ascii="Calibri" w:cs="Calibri"/>
                <w:color w:val="000000"/>
                <w:sz w:val="18"/>
                <w:szCs w:val="18"/>
              </w:rPr>
            </w:r>
          </w:p>
        </w:tc>
      </w:tr>
    </w:tbl>
    <w:p w14:paraId="4DC1CE03" w14:textId="77777777">
      <w:pPr>
        <w:pBdr/>
        <w:spacing/>
        <w:ind/>
        <w:jc w:val="both"/>
        <w:rPr>
          <w:rFonts w:ascii="Arial" w:cs="Arial"/>
          <w:b/>
        </w:rPr>
      </w:pPr>
      <w:r>
        <w:rPr>
          <w:rFonts w:ascii="Arial" w:cs="Arial"/>
          <w:b/>
        </w:rPr>
      </w:r>
      <w:r>
        <w:rPr>
          <w:rFonts w:ascii="Arial" w:cs="Arial"/>
          <w:b/>
        </w:rPr>
      </w:r>
    </w:p>
    <w:p w14:paraId="1F092D32" w14:textId="77777777">
      <w:pPr>
        <w:pBdr/>
        <w:spacing/>
        <w:ind/>
        <w:jc w:val="both"/>
        <w:rPr/>
      </w:pPr>
      <w:r>
        <w:rPr>
          <w:rFonts w:ascii="Arial" w:hAnsi="Arial" w:cs="Arial"/>
          <w:b/>
        </w:rPr>
        <w:t xml:space="preserve">5.2. DA(S) DOTAÇÃO(ÕES) ORÇAMENTÁRIA(S):</w:t>
      </w:r>
      <w:r/>
    </w:p>
    <w:p w14:paraId="3E17A46A" w14:textId="77777777">
      <w:pPr>
        <w:pBdr/>
        <w:spacing/>
        <w:ind/>
        <w:jc w:val="both"/>
        <w:rPr>
          <w:rFonts w:ascii="Arial" w:cs="Arial"/>
          <w:b/>
        </w:rPr>
      </w:pPr>
      <w:r>
        <w:rPr>
          <w:rFonts w:ascii="Arial" w:cs="Arial"/>
          <w:b/>
        </w:rPr>
      </w:r>
      <w:r>
        <w:rPr>
          <w:rFonts w:ascii="Arial" w:cs="Arial"/>
          <w:b/>
        </w:rPr>
      </w:r>
    </w:p>
    <w:p w14:paraId="2C0B5AC3" w14:textId="77777777">
      <w:pPr>
        <w:pBdr/>
        <w:spacing/>
        <w:ind/>
        <w:jc w:val="both"/>
        <w:rPr/>
      </w:pPr>
      <w:r>
        <w:rPr>
          <w:rFonts w:ascii="Arial" w:hAnsi="Arial" w:cs="Arial"/>
          <w:b/>
        </w:rPr>
        <w:t xml:space="preserve">5.2.1. </w:t>
      </w:r>
      <w:r>
        <w:rPr>
          <w:rFonts w:ascii="Arial" w:hAnsi="Arial" w:cs="Arial"/>
          <w:color w:val="231f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cs="Arial"/>
          <w:color w:val="231f20"/>
          <w:sz w:val="21"/>
          <w:szCs w:val="21"/>
        </w:rPr>
        <w:t xml:space="preserve">§2º do </w:t>
      </w:r>
      <w:r>
        <w:rPr>
          <w:rFonts w:ascii="Arial" w:hAnsi="Arial" w:cs="Arial"/>
        </w:rPr>
        <w:t xml:space="preserve">Decreto Municipal 11.685/2023)</w:t>
      </w:r>
      <w:r/>
    </w:p>
    <w:p w14:paraId="4AA5C607" w14:textId="77777777">
      <w:pPr>
        <w:pBdr/>
        <w:spacing/>
        <w:ind/>
        <w:jc w:val="both"/>
        <w:rPr>
          <w:rFonts w:ascii="Arial" w:cs="Arial"/>
          <w:b/>
          <w:color w:val="231f20"/>
          <w:sz w:val="21"/>
          <w:szCs w:val="21"/>
        </w:rPr>
      </w:pPr>
      <w:r>
        <w:rPr>
          <w:rFonts w:ascii="Arial" w:cs="Arial"/>
          <w:b/>
          <w:color w:val="231f20"/>
          <w:sz w:val="21"/>
          <w:szCs w:val="21"/>
        </w:rPr>
      </w:r>
      <w:r>
        <w:rPr>
          <w:rFonts w:ascii="Arial" w:cs="Arial"/>
          <w:b/>
          <w:color w:val="231f20"/>
          <w:sz w:val="21"/>
          <w:szCs w:val="21"/>
        </w:rPr>
      </w:r>
    </w:p>
    <w:p w14:paraId="54AAD68E" w14:textId="77777777">
      <w:pPr>
        <w:pBdr/>
        <w:spacing/>
        <w:ind/>
        <w:jc w:val="both"/>
        <w:rPr/>
      </w:pPr>
      <w:r>
        <w:rPr>
          <w:rFonts w:ascii="Arial" w:hAnsi="Arial" w:cs="Arial"/>
          <w:b/>
        </w:rPr>
        <w:t xml:space="preserve">CLÁUSULA SEXTA – DO SISTEMA DO REGISTRO DE PREÇOS:</w:t>
      </w:r>
      <w:r/>
    </w:p>
    <w:p w14:paraId="38F5E186" w14:textId="77777777">
      <w:pPr>
        <w:pBdr/>
        <w:spacing/>
        <w:ind/>
        <w:jc w:val="both"/>
        <w:rPr>
          <w:rFonts w:ascii="Arial" w:cs="Arial"/>
          <w:color w:val="231f20"/>
        </w:rPr>
      </w:pPr>
      <w:r>
        <w:rPr>
          <w:rFonts w:ascii="Arial" w:cs="Arial"/>
          <w:color w:val="231f20"/>
        </w:rPr>
      </w:r>
      <w:r>
        <w:rPr>
          <w:rFonts w:ascii="Arial" w:cs="Arial"/>
          <w:color w:val="231f20"/>
        </w:rPr>
      </w:r>
    </w:p>
    <w:p w14:paraId="4BD9A6A6" w14:textId="77777777">
      <w:pPr>
        <w:pBdr/>
        <w:spacing/>
        <w:ind/>
        <w:jc w:val="both"/>
        <w:rPr/>
      </w:pPr>
      <w:r>
        <w:rPr>
          <w:rFonts w:ascii="Arial" w:hAnsi="Arial" w:cs="Arial"/>
          <w:b/>
          <w:color w:val="231f20"/>
        </w:rPr>
        <w:t xml:space="preserve">6.1.</w:t>
      </w:r>
      <w:r>
        <w:rPr>
          <w:rFonts w:ascii="Arial" w:hAnsi="Arial" w:cs="Arial"/>
          <w:color w:val="231f20"/>
        </w:rPr>
        <w:t xml:space="preserve"> O Sistema de Registro de Preços regula-se pelas normas e procedimentos previstos na Lei Federal nº 14.133/21, no Decreto Municipal n° 11.685/2023 e nas demais normas complementares.</w:t>
      </w:r>
      <w:r/>
    </w:p>
    <w:p w14:paraId="77DB0764" w14:textId="77777777">
      <w:pPr>
        <w:pBdr/>
        <w:spacing/>
        <w:ind/>
        <w:jc w:val="both"/>
        <w:rPr>
          <w:rFonts w:ascii="Arial" w:cs="Arial"/>
          <w:color w:val="231f20"/>
        </w:rPr>
      </w:pPr>
      <w:r>
        <w:rPr>
          <w:rFonts w:ascii="Arial" w:cs="Arial"/>
          <w:color w:val="231f20"/>
        </w:rPr>
      </w:r>
      <w:r>
        <w:rPr>
          <w:rFonts w:ascii="Arial" w:cs="Arial"/>
          <w:color w:val="231f20"/>
        </w:rPr>
      </w:r>
    </w:p>
    <w:p w14:paraId="28B78669" w14:textId="77777777">
      <w:pPr>
        <w:pBdr/>
        <w:spacing/>
        <w:ind/>
        <w:jc w:val="both"/>
        <w:rPr/>
      </w:pPr>
      <w:r/>
      <w:bookmarkStart w:id="92" w:name="_30j0zll"/>
      <w:r/>
      <w:bookmarkEnd w:id="92"/>
      <w:r>
        <w:rPr>
          <w:rFonts w:ascii="Arial" w:hAnsi="Arial" w:cs="Arial"/>
          <w:b/>
          <w:color w:val="231f20"/>
        </w:rPr>
        <w:t xml:space="preserve">6.2.</w:t>
      </w:r>
      <w:r>
        <w:rPr>
          <w:rFonts w:ascii="Arial" w:hAnsi="Arial" w:cs="Arial"/>
          <w:color w:val="231f20"/>
        </w:rPr>
        <w:t xml:space="preserve"> Uma vez registrados o(s) preço(s), a Administração poderá convocar o Detentor a fornecer o(s) seriço/produto(s) respectivo(s), na forma e condições fixadas no edital, anexos e nesta ARP.</w:t>
      </w:r>
      <w:r/>
    </w:p>
    <w:p w14:paraId="23AC2005" w14:textId="77777777">
      <w:pPr>
        <w:pBdr/>
        <w:spacing/>
        <w:ind/>
        <w:jc w:val="both"/>
        <w:rPr>
          <w:rFonts w:ascii="Arial" w:cs="Arial"/>
          <w:color w:val="231f20"/>
        </w:rPr>
      </w:pPr>
      <w:r>
        <w:rPr>
          <w:rFonts w:ascii="Arial" w:cs="Arial"/>
          <w:color w:val="231f20"/>
        </w:rPr>
      </w:r>
      <w:r>
        <w:rPr>
          <w:rFonts w:ascii="Arial" w:cs="Arial"/>
          <w:color w:val="231f20"/>
        </w:rPr>
      </w:r>
    </w:p>
    <w:p w14:paraId="1D552A4C" w14:textId="77777777">
      <w:pPr>
        <w:pBdr/>
        <w:spacing/>
        <w:ind/>
        <w:jc w:val="both"/>
        <w:rPr/>
      </w:pPr>
      <w:r>
        <w:rPr>
          <w:rFonts w:ascii="Arial" w:hAnsi="Arial" w:cs="Arial"/>
          <w:b/>
          <w:color w:val="231f20"/>
        </w:rPr>
        <w:t xml:space="preserve">6.3.</w:t>
      </w:r>
      <w:r>
        <w:rPr>
          <w:rFonts w:ascii="Arial" w:hAnsi="Arial" w:cs="Arial"/>
          <w:color w:val="231f20"/>
        </w:rPr>
        <w:t xml:space="preserve"> A existência de preço(s) registrado</w:t>
      </w:r>
      <w:r>
        <w:rPr>
          <w:rFonts w:ascii="Arial" w:hAnsi="Arial" w:cs="Arial"/>
          <w:color w:val="231f20"/>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p>
    <w:p w14:paraId="67446E36" w14:textId="77777777">
      <w:pPr>
        <w:pBdr/>
        <w:spacing/>
        <w:ind/>
        <w:jc w:val="both"/>
        <w:rPr>
          <w:rFonts w:ascii="Arial" w:cs="Arial"/>
          <w:color w:val="231f20"/>
        </w:rPr>
      </w:pPr>
      <w:r>
        <w:rPr>
          <w:rFonts w:ascii="Arial" w:cs="Arial"/>
          <w:color w:val="231f20"/>
        </w:rPr>
      </w:r>
      <w:r>
        <w:rPr>
          <w:rFonts w:ascii="Arial" w:cs="Arial"/>
          <w:color w:val="231f20"/>
        </w:rPr>
      </w:r>
    </w:p>
    <w:p w14:paraId="47450E32" w14:textId="77777777">
      <w:pPr>
        <w:pBdr/>
        <w:spacing/>
        <w:ind/>
        <w:jc w:val="both"/>
        <w:rPr/>
      </w:pPr>
      <w:r>
        <w:rPr>
          <w:rFonts w:ascii="Arial" w:hAnsi="Arial" w:cs="Arial"/>
          <w:b/>
          <w:color w:val="231f20"/>
        </w:rPr>
        <w:t xml:space="preserve">6.4.</w:t>
      </w:r>
      <w:r>
        <w:rPr>
          <w:rFonts w:ascii="Arial" w:hAnsi="Arial" w:cs="Arial"/>
          <w:color w:val="231f20"/>
        </w:rPr>
        <w:t xml:space="preserve"> É vedada a realização/aquisição do(s) produto(s) por valor(es) superior(es) ao(s) registrado(s) vigente(s).</w:t>
      </w:r>
      <w:r/>
    </w:p>
    <w:p w14:paraId="3F3E6251" w14:textId="77777777">
      <w:pPr>
        <w:pBdr/>
        <w:spacing/>
        <w:ind/>
        <w:jc w:val="both"/>
        <w:rPr>
          <w:rFonts w:ascii="Arial" w:cs="Arial"/>
          <w:color w:val="231f20"/>
        </w:rPr>
      </w:pPr>
      <w:r>
        <w:rPr>
          <w:rFonts w:ascii="Arial" w:cs="Arial"/>
          <w:color w:val="231f20"/>
        </w:rPr>
      </w:r>
      <w:r>
        <w:rPr>
          <w:rFonts w:ascii="Arial" w:cs="Arial"/>
          <w:color w:val="231f20"/>
        </w:rPr>
      </w:r>
    </w:p>
    <w:p w14:paraId="574E8235" w14:textId="77777777">
      <w:pPr>
        <w:pBdr/>
        <w:spacing/>
        <w:ind/>
        <w:jc w:val="both"/>
        <w:rPr/>
      </w:pPr>
      <w:r>
        <w:rPr>
          <w:rFonts w:ascii="Arial" w:hAnsi="Arial" w:cs="Arial"/>
          <w:b/>
          <w:color w:val="231f20"/>
        </w:rPr>
        <w:t xml:space="preserve">6.5.</w:t>
      </w:r>
      <w:r>
        <w:rPr>
          <w:rFonts w:ascii="Arial" w:hAnsi="Arial" w:cs="Arial"/>
          <w:color w:val="231f20"/>
        </w:rPr>
        <w:t xml:space="preserve"> O Detentor fica obrigado a atender a todos os pedidos de fornecimento efetuados durante a vigência do Registro de Preços.</w:t>
      </w:r>
      <w:r/>
    </w:p>
    <w:p w14:paraId="79E621B6" w14:textId="77777777">
      <w:pPr>
        <w:pBdr/>
        <w:spacing/>
        <w:ind/>
        <w:jc w:val="both"/>
        <w:rPr>
          <w:rFonts w:ascii="Arial" w:cs="Arial"/>
          <w:color w:val="231f20"/>
        </w:rPr>
      </w:pPr>
      <w:r>
        <w:rPr>
          <w:rFonts w:ascii="Arial" w:cs="Arial"/>
          <w:color w:val="231f20"/>
        </w:rPr>
      </w:r>
      <w:r>
        <w:rPr>
          <w:rFonts w:ascii="Arial" w:cs="Arial"/>
          <w:color w:val="231f20"/>
        </w:rPr>
      </w:r>
    </w:p>
    <w:p w14:paraId="0CA849FE" w14:textId="77777777">
      <w:pPr>
        <w:pBdr/>
        <w:spacing/>
        <w:ind/>
        <w:jc w:val="both"/>
        <w:rPr/>
      </w:pPr>
      <w:r>
        <w:rPr>
          <w:rFonts w:ascii="Arial" w:hAnsi="Arial" w:cs="Arial"/>
          <w:b/>
          <w:color w:val="231f20"/>
        </w:rPr>
        <w:t xml:space="preserve">6.6</w:t>
      </w:r>
      <w:r>
        <w:rPr>
          <w:rFonts w:ascii="Arial" w:hAnsi="Arial" w:cs="Arial"/>
          <w:color w:val="231f20"/>
        </w:rPr>
        <w:t xml:space="preserve">. O Detentor deverá garantir a qualidade do(s) produto(s) entregue(s) mesmo após o vencimento da ARP.</w:t>
      </w:r>
      <w:r/>
    </w:p>
    <w:p w14:paraId="2F2B46F4" w14:textId="77777777">
      <w:pPr>
        <w:pBdr/>
        <w:spacing/>
        <w:ind/>
        <w:jc w:val="both"/>
        <w:rPr>
          <w:rFonts w:ascii="Arial" w:cs="Arial"/>
          <w:color w:val="231f20"/>
        </w:rPr>
      </w:pPr>
      <w:r>
        <w:rPr>
          <w:rFonts w:ascii="Arial" w:cs="Arial"/>
          <w:color w:val="231f20"/>
        </w:rPr>
      </w:r>
      <w:r>
        <w:rPr>
          <w:rFonts w:ascii="Arial" w:cs="Arial"/>
          <w:color w:val="231f20"/>
        </w:rPr>
      </w:r>
    </w:p>
    <w:p w14:paraId="2A4DC287" w14:textId="77777777">
      <w:pPr>
        <w:pBdr/>
        <w:spacing/>
        <w:ind/>
        <w:jc w:val="both"/>
        <w:rPr/>
      </w:pPr>
      <w:r>
        <w:rPr>
          <w:rFonts w:ascii="Arial" w:hAnsi="Arial" w:cs="Arial"/>
          <w:b/>
        </w:rPr>
        <w:t xml:space="preserve">CLÁUSULA SÉTIMA – DA EXECUÇÃO DA ATA:</w:t>
      </w:r>
      <w:r/>
    </w:p>
    <w:p w14:paraId="042C7E40" w14:textId="77777777">
      <w:pPr>
        <w:pBdr/>
        <w:spacing/>
        <w:ind/>
        <w:jc w:val="both"/>
        <w:rPr>
          <w:rFonts w:ascii="Arial" w:cs="Arial"/>
          <w:color w:val="231f20"/>
        </w:rPr>
      </w:pPr>
      <w:r>
        <w:rPr>
          <w:rFonts w:ascii="Arial" w:cs="Arial"/>
          <w:color w:val="231f20"/>
        </w:rPr>
      </w:r>
      <w:r>
        <w:rPr>
          <w:rFonts w:ascii="Arial" w:cs="Arial"/>
          <w:color w:val="231f20"/>
        </w:rPr>
      </w:r>
    </w:p>
    <w:p w14:paraId="39F4227C" w14:textId="77777777">
      <w:pPr>
        <w:pBdr/>
        <w:spacing/>
        <w:ind/>
        <w:jc w:val="both"/>
        <w:rPr/>
      </w:pPr>
      <w:r>
        <w:rPr>
          <w:rFonts w:ascii="Arial" w:hAnsi="Arial" w:cs="Arial"/>
          <w:b/>
          <w:color w:val="231f20"/>
        </w:rPr>
        <w:t xml:space="preserve">7.1.</w:t>
      </w:r>
      <w:r>
        <w:rPr>
          <w:rFonts w:ascii="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r/>
    </w:p>
    <w:p w14:paraId="3AC50900" w14:textId="77777777">
      <w:pPr>
        <w:pBdr/>
        <w:spacing/>
        <w:ind/>
        <w:jc w:val="both"/>
        <w:rPr/>
      </w:pPr>
      <w:r>
        <w:rPr>
          <w:rFonts w:ascii="Arial" w:hAnsi="Arial" w:cs="Arial"/>
          <w:b/>
          <w:color w:val="231f20"/>
        </w:rPr>
        <w:t xml:space="preserve">7.2.</w:t>
      </w:r>
      <w:r>
        <w:rPr>
          <w:rFonts w:ascii="Arial" w:hAnsi="Arial" w:cs="Arial"/>
          <w:color w:val="231f20"/>
        </w:rPr>
        <w:t xml:space="preserve"> Após autorização, a Gerência ................. ou equivalente de cada um dos Órgãos Participantes do Registro encaminhará Nota de Empenho ou outro instrumento equivalente ao Detentor da ARP, via e-mail ou outro meio de comunicação eficaz.</w:t>
      </w:r>
      <w:r/>
    </w:p>
    <w:p w14:paraId="33F71F4A" w14:textId="77777777">
      <w:pPr>
        <w:pBdr/>
        <w:spacing/>
        <w:ind/>
        <w:jc w:val="both"/>
        <w:rPr>
          <w:rFonts w:ascii="Arial" w:cs="Arial"/>
          <w:color w:val="231f20"/>
        </w:rPr>
      </w:pPr>
      <w:r>
        <w:rPr>
          <w:rFonts w:ascii="Arial" w:cs="Arial"/>
          <w:color w:val="231f20"/>
        </w:rPr>
      </w:r>
      <w:r>
        <w:rPr>
          <w:rFonts w:ascii="Arial" w:cs="Arial"/>
          <w:color w:val="231f20"/>
        </w:rPr>
      </w:r>
    </w:p>
    <w:p w14:paraId="2A782F01" w14:textId="77777777">
      <w:pPr>
        <w:pBdr/>
        <w:spacing/>
        <w:ind/>
        <w:jc w:val="both"/>
        <w:rPr/>
      </w:pPr>
      <w:r>
        <w:rPr>
          <w:rFonts w:ascii="Arial" w:hAnsi="Arial" w:cs="Arial"/>
          <w:b/>
          <w:color w:val="231f20"/>
        </w:rPr>
        <w:t xml:space="preserve">7.2.1.</w:t>
      </w:r>
      <w:r>
        <w:rPr>
          <w:rFonts w:ascii="Arial" w:hAnsi="Arial" w:cs="Arial"/>
          <w:color w:val="231f20"/>
        </w:rPr>
        <w:t xml:space="preserve"> A comprovação de que o Detentor recebeu a Nota de Empenho ou outro instrumento equivalente deverá ocorrer via e-mail ou outro meio de comunicação eficaz.</w:t>
      </w:r>
      <w:r/>
    </w:p>
    <w:p w14:paraId="5FAFFA06" w14:textId="77777777">
      <w:pPr>
        <w:pBdr/>
        <w:spacing/>
        <w:ind/>
        <w:jc w:val="both"/>
        <w:rPr>
          <w:rFonts w:ascii="Arial" w:cs="Arial"/>
          <w:color w:val="231f20"/>
        </w:rPr>
      </w:pPr>
      <w:r>
        <w:rPr>
          <w:rFonts w:ascii="Arial" w:cs="Arial"/>
          <w:color w:val="231f20"/>
        </w:rPr>
      </w:r>
      <w:r>
        <w:rPr>
          <w:rFonts w:ascii="Arial" w:cs="Arial"/>
          <w:color w:val="231f20"/>
        </w:rPr>
      </w:r>
    </w:p>
    <w:p w14:paraId="7D17AF03" w14:textId="77777777">
      <w:pPr>
        <w:pBdr/>
        <w:spacing/>
        <w:ind/>
        <w:jc w:val="both"/>
        <w:rPr/>
      </w:pPr>
      <w:r>
        <w:rPr>
          <w:rFonts w:ascii="Arial" w:hAnsi="Arial" w:cs="Arial"/>
          <w:b/>
          <w:color w:val="231f20"/>
        </w:rPr>
        <w:t xml:space="preserve">7.3.</w:t>
      </w:r>
      <w:r>
        <w:rPr>
          <w:rFonts w:ascii="Arial" w:hAnsi="Arial" w:cs="Arial"/>
          <w:color w:val="231f20"/>
        </w:rPr>
        <w:t xml:space="preserve"> Na hipótese de as Gerências não conseguirem um meio eficaz para envio da Nota de Empenho</w:t>
      </w:r>
      <w:r>
        <w:rPr>
          <w:rFonts w:ascii="Arial" w:hAnsi="Arial" w:cs="Arial"/>
          <w:color w:val="231f20"/>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p>
    <w:p w14:paraId="10A20971" w14:textId="77777777">
      <w:pPr>
        <w:pBdr/>
        <w:spacing/>
        <w:ind/>
        <w:jc w:val="both"/>
        <w:rPr>
          <w:rFonts w:ascii="Arial" w:cs="Arial"/>
          <w:color w:val="231f20"/>
        </w:rPr>
      </w:pPr>
      <w:r>
        <w:rPr>
          <w:rFonts w:ascii="Arial" w:cs="Arial"/>
          <w:color w:val="231f20"/>
        </w:rPr>
      </w:r>
      <w:r>
        <w:rPr>
          <w:rFonts w:ascii="Arial" w:cs="Arial"/>
          <w:color w:val="231f20"/>
        </w:rPr>
      </w:r>
    </w:p>
    <w:p w14:paraId="3350F790" w14:textId="77777777">
      <w:pPr>
        <w:pBdr/>
        <w:spacing/>
        <w:ind/>
        <w:jc w:val="both"/>
        <w:rPr/>
      </w:pPr>
      <w:r>
        <w:rPr>
          <w:rFonts w:ascii="Arial" w:hAnsi="Arial" w:cs="Arial"/>
          <w:b/>
          <w:color w:val="231f20"/>
        </w:rPr>
        <w:t xml:space="preserve">7.4.</w:t>
      </w:r>
      <w:r>
        <w:rPr>
          <w:rFonts w:ascii="Arial" w:hAnsi="Arial" w:cs="Arial"/>
          <w:color w:val="231f20"/>
        </w:rPr>
        <w:t xml:space="preserve"> A critério da Gerência solicitante, quando se fizer necessária a verificação </w:t>
      </w:r>
      <w:r>
        <w:rPr>
          <w:rFonts w:ascii="Arial" w:hAnsi="Arial" w:cs="Arial"/>
          <w:color w:val="231f20"/>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p>
    <w:p w14:paraId="44361C0A" w14:textId="77777777">
      <w:pPr>
        <w:pBdr/>
        <w:spacing/>
        <w:ind/>
        <w:jc w:val="both"/>
        <w:rPr>
          <w:rFonts w:ascii="Arial" w:cs="Arial"/>
          <w:b/>
        </w:rPr>
      </w:pPr>
      <w:r>
        <w:rPr>
          <w:rFonts w:ascii="Arial" w:cs="Arial"/>
          <w:b/>
        </w:rPr>
      </w:r>
      <w:r>
        <w:rPr>
          <w:rFonts w:ascii="Arial" w:cs="Arial"/>
          <w:b/>
        </w:rPr>
      </w:r>
    </w:p>
    <w:p w14:paraId="6ADE8578" w14:textId="77777777">
      <w:pPr>
        <w:pBdr/>
        <w:spacing/>
        <w:ind/>
        <w:jc w:val="both"/>
        <w:rPr/>
      </w:pPr>
      <w:r>
        <w:rPr>
          <w:rFonts w:ascii="Arial" w:hAnsi="Arial" w:cs="Arial"/>
          <w:b/>
        </w:rPr>
        <w:t xml:space="preserve">CLÁUSULA OITAVA – DOS PRAZOS, CONDIÇÕES DE ENTREGA, ACONDICIONAMENTO E TRANSPORTE</w:t>
      </w:r>
      <w:r/>
    </w:p>
    <w:p w14:paraId="795CAE06" w14:textId="77777777">
      <w:pPr>
        <w:pBdr/>
        <w:spacing/>
        <w:ind/>
        <w:jc w:val="both"/>
        <w:rPr/>
      </w:pPr>
      <w:r>
        <w:rPr>
          <w:rFonts w:ascii="Arial" w:hAnsi="Arial" w:cs="Arial"/>
          <w:b/>
          <w:color w:val="231f20"/>
        </w:rPr>
        <w:t xml:space="preserve">8.1.</w:t>
      </w:r>
      <w:r>
        <w:rPr>
          <w:rFonts w:ascii="Arial" w:hAnsi="Arial" w:cs="Arial"/>
          <w:color w:val="231f20"/>
        </w:rPr>
        <w:t xml:space="preserve"> As regras referentes aos prazos, condições de entrega, acondimento, transporte e os locais de entrega, constam no Termo de Referência. </w:t>
      </w:r>
      <w:r/>
      <w:r>
        <w:rPr>
          <w:rFonts w:ascii="Arial" w:cs="Arial"/>
          <w:b/>
        </w:rPr>
      </w:r>
      <w:r>
        <w:rPr>
          <w:rFonts w:ascii="Arial" w:cs="Arial"/>
          <w:b/>
        </w:rPr>
      </w:r>
      <w:r/>
    </w:p>
    <w:p w14:paraId="07E2A937" w14:textId="77777777">
      <w:pPr>
        <w:pBdr/>
        <w:spacing/>
        <w:ind/>
        <w:jc w:val="both"/>
        <w:rPr/>
      </w:pPr>
      <w:r>
        <w:rPr>
          <w:rFonts w:ascii="Arial" w:hAnsi="Arial" w:cs="Arial"/>
          <w:b/>
        </w:rPr>
        <w:t xml:space="preserve">CLÁUSULA NONA – DO RECEBIMENTO DO(S) SERVIÇOS/PRODUTO(S):</w:t>
      </w:r>
      <w:r/>
    </w:p>
    <w:p w14:paraId="1D824C45" w14:textId="77777777">
      <w:pPr>
        <w:pBdr/>
        <w:spacing/>
        <w:ind/>
        <w:jc w:val="both"/>
        <w:rPr>
          <w:rFonts w:ascii="Arial" w:cs="Arial"/>
          <w:color w:val="231f20"/>
        </w:rPr>
      </w:pPr>
      <w:r>
        <w:rPr>
          <w:rFonts w:ascii="Arial" w:cs="Arial"/>
          <w:color w:val="231f20"/>
        </w:rPr>
      </w:r>
      <w:r>
        <w:rPr>
          <w:rFonts w:ascii="Arial" w:cs="Arial"/>
          <w:color w:val="231f20"/>
        </w:rPr>
      </w:r>
    </w:p>
    <w:p w14:paraId="2AB4A9C4" w14:textId="77777777">
      <w:pPr>
        <w:pBdr/>
        <w:spacing/>
        <w:ind/>
        <w:jc w:val="both"/>
        <w:rPr/>
      </w:pPr>
      <w:r>
        <w:rPr>
          <w:rFonts w:ascii="Arial" w:hAnsi="Arial" w:cs="Arial"/>
          <w:b/>
          <w:color w:val="231f20"/>
        </w:rPr>
        <w:t xml:space="preserve">9.1.</w:t>
      </w:r>
      <w:r>
        <w:rPr>
          <w:rFonts w:ascii="Arial" w:hAnsi="Arial" w:cs="Arial"/>
          <w:color w:val="231f20"/>
        </w:rPr>
        <w:t xml:space="preserve"> As regras referentes ao recebimento do(s) serviço/produto(s) constam no Termo de Referência.</w:t>
      </w:r>
      <w:r/>
    </w:p>
    <w:p w14:paraId="6FE18E9B" w14:textId="77777777">
      <w:pPr>
        <w:pBdr/>
        <w:spacing/>
        <w:ind/>
        <w:jc w:val="both"/>
        <w:rPr>
          <w:rFonts w:ascii="Arial" w:cs="Arial"/>
          <w:color w:val="231f20"/>
        </w:rPr>
      </w:pPr>
      <w:r>
        <w:rPr>
          <w:rFonts w:ascii="Arial" w:cs="Arial"/>
          <w:color w:val="231f20"/>
        </w:rPr>
      </w:r>
      <w:r>
        <w:rPr>
          <w:rFonts w:ascii="Arial" w:cs="Arial"/>
          <w:color w:val="231f20"/>
        </w:rPr>
      </w:r>
    </w:p>
    <w:p w14:paraId="3B28B84F" w14:textId="77777777">
      <w:pPr>
        <w:pBdr/>
        <w:spacing/>
        <w:ind/>
        <w:jc w:val="both"/>
        <w:rPr/>
      </w:pPr>
      <w:r>
        <w:rPr>
          <w:rFonts w:ascii="Arial" w:hAnsi="Arial" w:cs="Arial"/>
          <w:b/>
          <w:color w:val="231f20"/>
        </w:rPr>
        <w:t xml:space="preserve">CLÁUSULA DÉCIMA – DAS CONDIÇÕES DE PAGAMENTO:</w:t>
      </w:r>
      <w:r/>
    </w:p>
    <w:p w14:paraId="24338D09" w14:textId="77777777">
      <w:pPr>
        <w:pBdr/>
        <w:spacing/>
        <w:ind/>
        <w:jc w:val="both"/>
        <w:rPr>
          <w:rFonts w:ascii="Arial" w:cs="Arial"/>
          <w:color w:val="231f20"/>
        </w:rPr>
      </w:pPr>
      <w:r>
        <w:rPr>
          <w:rFonts w:ascii="Arial" w:cs="Arial"/>
          <w:color w:val="231f20"/>
        </w:rPr>
      </w:r>
      <w:r>
        <w:rPr>
          <w:rFonts w:ascii="Arial" w:cs="Arial"/>
          <w:color w:val="231f20"/>
        </w:rPr>
      </w:r>
    </w:p>
    <w:p w14:paraId="68B6600B" w14:textId="77777777">
      <w:pPr>
        <w:pBdr/>
        <w:spacing/>
        <w:ind/>
        <w:jc w:val="both"/>
        <w:rPr/>
      </w:pPr>
      <w:r>
        <w:rPr>
          <w:rFonts w:ascii="Arial" w:hAnsi="Arial" w:cs="Arial"/>
          <w:b/>
          <w:color w:val="231f20"/>
        </w:rPr>
        <w:t xml:space="preserve">10.1.</w:t>
      </w:r>
      <w:r>
        <w:rPr>
          <w:rFonts w:ascii="Arial" w:hAnsi="Arial" w:cs="Arial"/>
          <w:color w:val="231f20"/>
        </w:rPr>
        <w:t xml:space="preserve"> As regras referentes às condições de pagamento constam no Termo de Referência.</w:t>
      </w:r>
      <w:r/>
    </w:p>
    <w:p w14:paraId="378F74AB" w14:textId="77777777">
      <w:pPr>
        <w:pBdr/>
        <w:spacing/>
        <w:ind/>
        <w:jc w:val="both"/>
        <w:rPr>
          <w:rFonts w:ascii="Arial" w:cs="Arial"/>
          <w:color w:val="231f20"/>
        </w:rPr>
      </w:pPr>
      <w:r>
        <w:rPr>
          <w:rFonts w:ascii="Arial" w:cs="Arial"/>
          <w:color w:val="231f20"/>
        </w:rPr>
      </w:r>
      <w:r>
        <w:rPr>
          <w:rFonts w:ascii="Arial" w:cs="Arial"/>
          <w:color w:val="231f20"/>
        </w:rPr>
      </w:r>
    </w:p>
    <w:p w14:paraId="157B8277" w14:textId="77777777">
      <w:pPr>
        <w:pBdr/>
        <w:spacing/>
        <w:ind/>
        <w:jc w:val="both"/>
        <w:rPr/>
      </w:pPr>
      <w:r>
        <w:rPr>
          <w:rFonts w:ascii="Arial" w:hAnsi="Arial" w:cs="Arial"/>
          <w:b/>
          <w:color w:val="000000"/>
        </w:rPr>
        <w:t xml:space="preserve">CLÁUSULA DÉCIMA PRIMEIRA – DA ALTERAÇÃO DE MARCA E DE PREÇO:</w:t>
      </w:r>
      <w:r/>
    </w:p>
    <w:p w14:paraId="3E48C781" w14:textId="77777777">
      <w:pPr>
        <w:pBdr/>
        <w:spacing/>
        <w:ind/>
        <w:jc w:val="both"/>
        <w:rPr>
          <w:rFonts w:ascii="Arial" w:cs="Arial"/>
          <w:b/>
          <w:sz w:val="24"/>
          <w:szCs w:val="24"/>
        </w:rPr>
      </w:pPr>
      <w:r>
        <w:rPr>
          <w:rFonts w:ascii="Arial" w:cs="Arial"/>
          <w:b/>
          <w:sz w:val="24"/>
          <w:szCs w:val="24"/>
        </w:rPr>
      </w:r>
      <w:r>
        <w:rPr>
          <w:rFonts w:ascii="Arial" w:cs="Arial"/>
          <w:b/>
          <w:sz w:val="24"/>
          <w:szCs w:val="24"/>
        </w:rPr>
      </w:r>
    </w:p>
    <w:p w14:paraId="091A6327" w14:textId="77777777">
      <w:pPr>
        <w:pBdr/>
        <w:spacing/>
        <w:ind/>
        <w:jc w:val="both"/>
        <w:rPr/>
      </w:pPr>
      <w:r>
        <w:rPr>
          <w:rFonts w:ascii="Arial" w:hAnsi="Arial" w:cs="Arial"/>
          <w:b/>
          <w:color w:val="231f20"/>
        </w:rPr>
        <w:t xml:space="preserve">11.1.</w:t>
      </w:r>
      <w:r>
        <w:rPr>
          <w:rFonts w:ascii="Arial" w:hAnsi="Arial" w:cs="Arial"/>
          <w:color w:val="231f20"/>
        </w:rPr>
        <w:t xml:space="preserve">  A ARP poderá ser alterada mediante a substituição de marca nas seguintes condições:</w:t>
      </w:r>
      <w:r/>
    </w:p>
    <w:p w14:paraId="545A86FD" w14:textId="77777777">
      <w:pPr>
        <w:pBdr/>
        <w:spacing/>
        <w:ind/>
        <w:jc w:val="both"/>
        <w:rPr/>
      </w:pPr>
      <w:r>
        <w:rPr>
          <w:rFonts w:ascii="Arial" w:cs="Arial"/>
          <w:sz w:val="24"/>
          <w:szCs w:val="24"/>
        </w:rPr>
        <w:t xml:space="preserve"> </w:t>
      </w:r>
      <w:r/>
    </w:p>
    <w:p w14:paraId="2FF97E1D" w14:textId="77777777">
      <w:pPr>
        <w:pBdr/>
        <w:spacing/>
        <w:ind/>
        <w:jc w:val="both"/>
        <w:rPr/>
      </w:pPr>
      <w:r>
        <w:rPr>
          <w:rFonts w:ascii="Arial" w:hAnsi="Arial" w:cs="Arial"/>
          <w:b/>
          <w:color w:val="231f20"/>
        </w:rPr>
        <w:t xml:space="preserve">I </w:t>
      </w:r>
      <w:r>
        <w:rPr>
          <w:rFonts w:ascii="Arial" w:hAnsi="Arial" w:cs="Arial"/>
          <w:color w:val="231f20"/>
        </w:rPr>
        <w:t xml:space="preserve">- Por solicitação do Órgão ou da Entidade Gerenciadora, se comprovado que a marca não mais atende às especificações exigidas ou se encontra fora da legislação aplicável;</w:t>
      </w:r>
      <w:r/>
    </w:p>
    <w:p w14:paraId="1167EF16" w14:textId="77777777">
      <w:pPr>
        <w:pBdr/>
        <w:spacing/>
        <w:ind/>
        <w:jc w:val="both"/>
        <w:rPr>
          <w:rFonts w:ascii="Arial" w:cs="Arial"/>
          <w:color w:val="231f20"/>
        </w:rPr>
      </w:pPr>
      <w:r>
        <w:rPr>
          <w:rFonts w:ascii="Arial" w:cs="Arial"/>
          <w:color w:val="231f20"/>
        </w:rPr>
      </w:r>
      <w:r>
        <w:rPr>
          <w:rFonts w:ascii="Arial" w:cs="Arial"/>
          <w:color w:val="231f20"/>
        </w:rPr>
      </w:r>
    </w:p>
    <w:p w14:paraId="5B4BDC95" w14:textId="77777777">
      <w:pPr>
        <w:pBdr/>
        <w:spacing/>
        <w:ind/>
        <w:jc w:val="both"/>
        <w:rPr/>
      </w:pPr>
      <w:r>
        <w:rPr>
          <w:rFonts w:ascii="Arial" w:hAnsi="Arial" w:cs="Arial"/>
          <w:b/>
          <w:color w:val="231f20"/>
        </w:rPr>
        <w:t xml:space="preserve">II</w:t>
      </w:r>
      <w:r>
        <w:rPr>
          <w:rFonts w:ascii="Arial" w:hAnsi="Arial" w:cs="Arial"/>
          <w:color w:val="231f20"/>
        </w:rPr>
        <w:t xml:space="preserve"> - Por requerimento do Detentor, que deve ser apreciado pelo Órgão ou Entidade Gerenciadora, em hipótese que comprove a impossibilidade de fornecimento.</w:t>
      </w:r>
      <w:r/>
    </w:p>
    <w:p w14:paraId="085A25CF" w14:textId="77777777">
      <w:pPr>
        <w:pBdr/>
        <w:spacing/>
        <w:ind/>
        <w:jc w:val="both"/>
        <w:rPr/>
      </w:pPr>
      <w:r>
        <w:rPr>
          <w:rFonts w:ascii="Arial" w:cs="Arial"/>
          <w:sz w:val="24"/>
          <w:szCs w:val="24"/>
        </w:rPr>
        <w:t xml:space="preserve"> </w:t>
      </w:r>
      <w:r/>
    </w:p>
    <w:p w14:paraId="05693C56" w14:textId="77777777">
      <w:pPr>
        <w:pBdr/>
        <w:spacing/>
        <w:ind/>
        <w:jc w:val="both"/>
        <w:rPr/>
      </w:pPr>
      <w:r>
        <w:rPr>
          <w:rFonts w:ascii="Arial" w:hAnsi="Arial" w:cs="Arial"/>
          <w:b/>
          <w:color w:val="231f20"/>
        </w:rPr>
        <w:t xml:space="preserve">11.1.1.</w:t>
      </w:r>
      <w:r>
        <w:rPr>
          <w:rFonts w:ascii="Arial" w:hAnsi="Arial" w:cs="Arial"/>
          <w:color w:val="231f20"/>
        </w:rPr>
        <w:t xml:space="preserve"> O Órgão ou Entidade Gerenciadora somente poderá aquiescer com a substituição requerida pelo Detentor se comprovadamente houver igualdade de condições ou vantagem para o interesse público.</w:t>
      </w:r>
      <w:r/>
    </w:p>
    <w:p w14:paraId="313C6352" w14:textId="77777777">
      <w:pPr>
        <w:pBdr/>
        <w:spacing/>
        <w:ind/>
        <w:jc w:val="both"/>
        <w:rPr>
          <w:rFonts w:ascii="Arial" w:cs="Arial"/>
          <w:b/>
          <w:color w:val="231f20"/>
        </w:rPr>
      </w:pPr>
      <w:r>
        <w:rPr>
          <w:rFonts w:ascii="Arial" w:cs="Arial"/>
          <w:b/>
          <w:color w:val="231f20"/>
        </w:rPr>
      </w:r>
      <w:r>
        <w:rPr>
          <w:rFonts w:ascii="Arial" w:cs="Arial"/>
          <w:b/>
          <w:color w:val="231f20"/>
        </w:rPr>
      </w:r>
    </w:p>
    <w:p w14:paraId="74BAFD7A" w14:textId="77777777">
      <w:pPr>
        <w:pBdr/>
        <w:spacing/>
        <w:ind/>
        <w:jc w:val="both"/>
        <w:rPr/>
      </w:pPr>
      <w:r>
        <w:rPr>
          <w:rFonts w:ascii="Arial" w:hAnsi="Arial" w:cs="Arial"/>
          <w:b/>
          <w:color w:val="231f20"/>
        </w:rPr>
        <w:t xml:space="preserve">11.1.2.</w:t>
      </w:r>
      <w:r>
        <w:rPr>
          <w:rFonts w:ascii="Arial" w:hAnsi="Arial" w:cs="Arial"/>
          <w:color w:val="231f20"/>
        </w:rPr>
        <w:t xml:space="preserve"> A substituição de marca implicará em nova análise do produto, conforme previsto no edital, anexos e na legislação aplicável. </w:t>
      </w:r>
      <w:r/>
    </w:p>
    <w:p w14:paraId="449B3678" w14:textId="77777777">
      <w:pPr>
        <w:pBdr/>
        <w:spacing/>
        <w:ind/>
        <w:jc w:val="both"/>
        <w:rPr>
          <w:rFonts w:ascii="Arial" w:cs="Arial"/>
          <w:color w:val="231f20"/>
        </w:rPr>
      </w:pPr>
      <w:r>
        <w:rPr>
          <w:rFonts w:ascii="Arial" w:cs="Arial"/>
          <w:color w:val="231f20"/>
        </w:rPr>
      </w:r>
      <w:r>
        <w:rPr>
          <w:rFonts w:ascii="Arial" w:cs="Arial"/>
          <w:color w:val="231f20"/>
        </w:rPr>
      </w:r>
    </w:p>
    <w:p w14:paraId="11856AE5" w14:textId="77777777">
      <w:pPr>
        <w:pBdr/>
        <w:spacing/>
        <w:ind/>
        <w:jc w:val="both"/>
        <w:rPr/>
      </w:pPr>
      <w:r>
        <w:rPr>
          <w:rFonts w:ascii="Arial" w:hAnsi="Arial" w:cs="Arial"/>
          <w:b/>
          <w:color w:val="231f20"/>
        </w:rPr>
        <w:t xml:space="preserve">11.1.3.</w:t>
      </w:r>
      <w:r>
        <w:rPr>
          <w:rFonts w:ascii="Arial" w:hAnsi="Arial" w:cs="Arial"/>
          <w:color w:val="231f20"/>
        </w:rPr>
        <w:t xml:space="preserve"> A substituição de marca deverá ser publicada obrigatoriamente no DIORONDON.</w:t>
      </w:r>
      <w:r/>
    </w:p>
    <w:p w14:paraId="466289BD" w14:textId="77777777">
      <w:pPr>
        <w:pBdr/>
        <w:spacing/>
        <w:ind/>
        <w:jc w:val="both"/>
        <w:rPr>
          <w:rFonts w:ascii="Arial" w:cs="Arial"/>
          <w:color w:val="231f20"/>
        </w:rPr>
      </w:pPr>
      <w:r>
        <w:rPr>
          <w:rFonts w:ascii="Arial" w:cs="Arial"/>
          <w:color w:val="231f20"/>
        </w:rPr>
      </w:r>
      <w:r>
        <w:rPr>
          <w:rFonts w:ascii="Arial" w:cs="Arial"/>
          <w:color w:val="231f20"/>
        </w:rPr>
      </w:r>
    </w:p>
    <w:p w14:paraId="4D4AFA7D" w14:textId="77777777">
      <w:pPr>
        <w:pBdr/>
        <w:spacing/>
        <w:ind/>
        <w:jc w:val="both"/>
        <w:rPr/>
      </w:pPr>
      <w:r>
        <w:rPr>
          <w:rFonts w:ascii="Arial" w:hAnsi="Arial" w:cs="Arial"/>
          <w:b/>
        </w:rPr>
        <w:t xml:space="preserve">CLÁUSULA DÉCIMA SEGUNDA – DA PESQUISA DE PREÇOS:</w:t>
      </w:r>
      <w:r/>
    </w:p>
    <w:p w14:paraId="50787DA7" w14:textId="77777777">
      <w:pPr>
        <w:pBdr/>
        <w:spacing/>
        <w:ind/>
        <w:jc w:val="both"/>
        <w:rPr>
          <w:rFonts w:ascii="Arial" w:cs="Arial"/>
          <w:color w:val="231f20"/>
        </w:rPr>
      </w:pPr>
      <w:r>
        <w:rPr>
          <w:rFonts w:ascii="Arial" w:cs="Arial"/>
          <w:color w:val="231f20"/>
        </w:rPr>
      </w:r>
      <w:r>
        <w:rPr>
          <w:rFonts w:ascii="Arial" w:cs="Arial"/>
          <w:color w:val="231f20"/>
        </w:rPr>
      </w:r>
    </w:p>
    <w:p w14:paraId="39794D41" w14:textId="77777777">
      <w:pPr>
        <w:pBdr/>
        <w:spacing/>
        <w:ind/>
        <w:jc w:val="both"/>
        <w:rPr/>
      </w:pPr>
      <w:r>
        <w:rPr>
          <w:rFonts w:ascii="Arial" w:hAnsi="Arial" w:cs="Arial"/>
          <w:b/>
        </w:rPr>
        <w:t xml:space="preserve">12.1.</w:t>
      </w:r>
      <w:r>
        <w:rPr>
          <w:rFonts w:ascii="Arial" w:hAnsi="Arial" w:cs="Arial"/>
        </w:rPr>
        <w:t xml:space="preserve">Os requisitos que utilizamos para a realização de pesquisa de preços com intenção na aquisição do objeto deste Term</w:t>
      </w:r>
      <w:r>
        <w:rPr>
          <w:rFonts w:ascii="Arial" w:hAnsi="Arial" w:cs="Arial"/>
        </w:rPr>
        <w:t xml:space="preserve">o Referencial está seguindo o contexto das normativas estabelecidas pela Lei 14.133/2021 e pela Instrução Normativa 65/2021 SEGES/ME. Para tal descrevemos abaixo cada um dos requisitos que compõem a estimativa de preços levantadas e suas formas de cotação.</w:t>
      </w:r>
      <w:r/>
    </w:p>
    <w:p w14:paraId="7D958B6E" w14:textId="77777777">
      <w:pPr>
        <w:pBdr/>
        <w:spacing/>
        <w:ind/>
        <w:jc w:val="both"/>
        <w:rPr>
          <w:rFonts w:ascii="Arial" w:cs="Arial"/>
        </w:rPr>
      </w:pPr>
      <w:r>
        <w:rPr>
          <w:rFonts w:ascii="Arial" w:cs="Arial"/>
        </w:rPr>
      </w:r>
      <w:r>
        <w:rPr>
          <w:rFonts w:ascii="Arial" w:cs="Arial"/>
        </w:rPr>
      </w:r>
    </w:p>
    <w:p w14:paraId="6D12EC7A" w14:textId="77777777">
      <w:pPr>
        <w:pBdr/>
        <w:spacing/>
        <w:ind/>
        <w:jc w:val="both"/>
        <w:rPr/>
      </w:pPr>
      <w:r>
        <w:rPr>
          <w:rFonts w:ascii="Arial" w:hAnsi="Arial" w:cs="Arial"/>
          <w:b/>
        </w:rPr>
        <w:t xml:space="preserve">12.2.</w:t>
      </w:r>
      <w:r>
        <w:rPr>
          <w:rFonts w:ascii="Arial" w:hAnsi="Arial" w:cs="Arial"/>
        </w:rPr>
        <w:t xml:space="preserve"> A estimativa dos valores unitários citados neste Termo Referencial bem como o valor total global da a</w:t>
      </w:r>
      <w:r>
        <w:rPr>
          <w:rFonts w:ascii="Arial" w:hAnsi="Arial" w:cs="Arial"/>
        </w:rPr>
        <w:t xml:space="preserve">quisição de bens de consumo e permanentes (constam em planilhas no item II dos Quantitativos); foram obtidos através de pesquisa de preços onde utilizamos como métodos e fonte de pesquisas as seguintes ferramentas: plataforma de preços públicos TCE-Radar (</w:t>
      </w:r>
      <w:hyperlink r:id="rId51" w:tooltip="https://radardeprecos.tce.mt.gov.br/extensions/%20radarcompraspublicas/panel.html" w:history="1">
        <w:r>
          <w:rPr>
            <w:rFonts w:ascii="Arial" w:hAnsi="Arial" w:cs="Arial"/>
          </w:rPr>
          <w:t xml:space="preserve">https://radardeprecos.tce.mt.gov.br/extensions/ radarcompraspublicas/panel.html</w:t>
        </w:r>
      </w:hyperlink>
      <w:r>
        <w:rPr>
          <w:rFonts w:ascii="Arial" w:hAnsi="Arial" w:cs="Arial"/>
        </w:rPr>
        <w:t xml:space="preserve">); Painel de preços (https://paineldeprecos.planejamento.gov.br/) e Portal Nacional de Contratações Públicas-PNCP. </w:t>
      </w:r>
      <w:r/>
    </w:p>
    <w:p w14:paraId="0A06E55B" w14:textId="77777777">
      <w:pPr>
        <w:pBdr/>
        <w:spacing/>
        <w:ind/>
        <w:jc w:val="both"/>
        <w:rPr>
          <w:rFonts w:ascii="Arial" w:cs="Arial"/>
        </w:rPr>
      </w:pPr>
      <w:r>
        <w:rPr>
          <w:rFonts w:ascii="Arial" w:cs="Arial"/>
        </w:rPr>
      </w:r>
      <w:r>
        <w:rPr>
          <w:rFonts w:ascii="Arial" w:cs="Arial"/>
        </w:rPr>
      </w:r>
    </w:p>
    <w:p w14:paraId="4599903A" w14:textId="77777777">
      <w:pPr>
        <w:pBdr/>
        <w:spacing/>
        <w:ind/>
        <w:jc w:val="both"/>
        <w:rPr/>
      </w:pPr>
      <w:r>
        <w:rPr>
          <w:rFonts w:ascii="Arial" w:hAnsi="Arial" w:cs="Arial"/>
          <w:b/>
        </w:rPr>
        <w:t xml:space="preserve">12.3.</w:t>
      </w:r>
      <w:r>
        <w:rPr>
          <w:rFonts w:ascii="Arial" w:hAnsi="Arial" w:cs="Arial"/>
        </w:rPr>
        <w:t xml:space="preserve"> A identificação do(a) responsável pela pesquisa preços consta com os seguintes dados: nome completo; cargo bem como o número de matrícula em todas páginas com os orçamentos que compõem este termo referencial.</w:t>
      </w:r>
      <w:r/>
    </w:p>
    <w:p w14:paraId="2F3ED571" w14:textId="77777777">
      <w:pPr>
        <w:pBdr/>
        <w:spacing/>
        <w:ind/>
        <w:jc w:val="both"/>
        <w:rPr>
          <w:rFonts w:ascii="Arial" w:cs="Arial"/>
          <w:b/>
        </w:rPr>
      </w:pPr>
      <w:r>
        <w:rPr>
          <w:rFonts w:ascii="Arial" w:cs="Arial"/>
          <w:b/>
        </w:rPr>
      </w:r>
      <w:r>
        <w:rPr>
          <w:rFonts w:ascii="Arial" w:cs="Arial"/>
          <w:b/>
        </w:rPr>
      </w:r>
    </w:p>
    <w:p w14:paraId="188F17C3" w14:textId="77777777">
      <w:pPr>
        <w:pBdr/>
        <w:spacing/>
        <w:ind/>
        <w:jc w:val="both"/>
        <w:rPr/>
      </w:pPr>
      <w:r>
        <w:rPr>
          <w:rFonts w:ascii="Arial" w:hAnsi="Arial" w:cs="Arial"/>
          <w:b/>
        </w:rPr>
        <w:t xml:space="preserve">CLÁUSULA DÉCIMA TERCEIRA – DAS OBRIGAÇÕES DO ÓRGÃO DETENTOR DA ATA:</w:t>
      </w:r>
      <w:r/>
    </w:p>
    <w:p w14:paraId="448F40CC" w14:textId="77777777">
      <w:pPr>
        <w:pBdr/>
        <w:spacing/>
        <w:ind/>
        <w:jc w:val="both"/>
        <w:rPr>
          <w:rFonts w:ascii="Arial" w:cs="Arial"/>
          <w:color w:val="231f20"/>
        </w:rPr>
      </w:pPr>
      <w:r>
        <w:rPr>
          <w:rFonts w:ascii="Arial" w:cs="Arial"/>
          <w:color w:val="231f20"/>
        </w:rPr>
      </w:r>
      <w:r>
        <w:rPr>
          <w:rFonts w:ascii="Arial" w:cs="Arial"/>
          <w:color w:val="231f20"/>
        </w:rPr>
      </w:r>
    </w:p>
    <w:p w14:paraId="46B5AB59" w14:textId="77777777">
      <w:pPr>
        <w:pBdr/>
        <w:spacing/>
        <w:ind/>
        <w:jc w:val="both"/>
        <w:rPr/>
      </w:pPr>
      <w:r>
        <w:rPr>
          <w:rFonts w:ascii="Arial" w:hAnsi="Arial" w:cs="Arial"/>
          <w:b/>
          <w:color w:val="231f20"/>
        </w:rPr>
        <w:t xml:space="preserve">13.1.</w:t>
      </w:r>
      <w:r>
        <w:rPr>
          <w:rFonts w:ascii="Arial" w:hAnsi="Arial" w:cs="Arial"/>
          <w:color w:val="231f20"/>
        </w:rPr>
        <w:t xml:space="preserve"> As obrigações do Órgão e do Detentor da Ata constam no Termo de Referência.</w:t>
      </w:r>
      <w:r/>
    </w:p>
    <w:p w14:paraId="427B5BFC" w14:textId="77777777">
      <w:pPr>
        <w:pBdr/>
        <w:spacing/>
        <w:ind/>
        <w:jc w:val="both"/>
        <w:rPr>
          <w:rFonts w:ascii="Arial" w:cs="Arial"/>
          <w:b/>
        </w:rPr>
      </w:pPr>
      <w:r>
        <w:rPr>
          <w:rFonts w:ascii="Arial" w:cs="Arial"/>
          <w:b/>
        </w:rPr>
      </w:r>
      <w:r>
        <w:rPr>
          <w:rFonts w:ascii="Arial" w:cs="Arial"/>
          <w:b/>
        </w:rPr>
      </w:r>
    </w:p>
    <w:p w14:paraId="1184A68B" w14:textId="77777777">
      <w:pPr>
        <w:pBdr/>
        <w:spacing/>
        <w:ind/>
        <w:jc w:val="both"/>
        <w:rPr/>
      </w:pPr>
      <w:r>
        <w:rPr>
          <w:rFonts w:ascii="Arial" w:hAnsi="Arial" w:cs="Arial"/>
          <w:b/>
        </w:rPr>
        <w:t xml:space="preserve">CLÁUSULA DÉCIMA QUARTA – DO CANCELAMENTO DO REGISTRO DE PREÇOS:</w:t>
      </w:r>
      <w:r/>
    </w:p>
    <w:p w14:paraId="28F5EDBA" w14:textId="77777777">
      <w:pPr>
        <w:pBdr/>
        <w:spacing/>
        <w:ind/>
        <w:jc w:val="both"/>
        <w:rPr>
          <w:rFonts w:ascii="Arial" w:cs="Arial"/>
          <w:color w:val="231f20"/>
        </w:rPr>
      </w:pPr>
      <w:r>
        <w:rPr>
          <w:rFonts w:ascii="Arial" w:cs="Arial"/>
          <w:color w:val="231f20"/>
        </w:rPr>
      </w:r>
      <w:r>
        <w:rPr>
          <w:rFonts w:ascii="Arial" w:cs="Arial"/>
          <w:color w:val="231f20"/>
        </w:rPr>
      </w:r>
    </w:p>
    <w:p w14:paraId="7DADBA21" w14:textId="77777777">
      <w:pPr>
        <w:pBdr/>
        <w:spacing/>
        <w:ind/>
        <w:jc w:val="both"/>
        <w:rPr/>
      </w:pPr>
      <w:r>
        <w:rPr>
          <w:rFonts w:ascii="Arial" w:hAnsi="Arial" w:cs="Arial"/>
          <w:b/>
          <w:color w:val="231f20"/>
        </w:rPr>
        <w:t xml:space="preserve">14.1.</w:t>
      </w:r>
      <w:r>
        <w:rPr>
          <w:rFonts w:ascii="Arial" w:hAnsi="Arial" w:cs="Arial"/>
          <w:color w:val="231f20"/>
        </w:rPr>
        <w:t xml:space="preserve"> O Órgão ou Entidade Gerenciadora poderá cancelar o registro de preços do Detentor, total ou parcialmente, observados o contraditório e a ampla defesa, nos seguintes casos:</w:t>
      </w:r>
      <w:r/>
    </w:p>
    <w:p w14:paraId="0CCA81B9" w14:textId="77777777">
      <w:pPr>
        <w:pBdr/>
        <w:spacing/>
        <w:ind/>
        <w:jc w:val="both"/>
        <w:rPr>
          <w:rFonts w:ascii="Arial" w:cs="Arial"/>
          <w:color w:val="231f20"/>
        </w:rPr>
      </w:pPr>
      <w:r>
        <w:rPr>
          <w:rFonts w:ascii="Arial" w:cs="Arial"/>
          <w:color w:val="231f20"/>
        </w:rPr>
      </w:r>
      <w:r>
        <w:rPr>
          <w:rFonts w:ascii="Arial" w:cs="Arial"/>
          <w:color w:val="231f20"/>
        </w:rPr>
      </w:r>
    </w:p>
    <w:p w14:paraId="4FDF41E4" w14:textId="77777777">
      <w:pPr>
        <w:pBdr/>
        <w:spacing/>
        <w:ind/>
        <w:jc w:val="both"/>
        <w:rPr/>
      </w:pPr>
      <w:r>
        <w:rPr>
          <w:rFonts w:ascii="Arial" w:hAnsi="Arial" w:cs="Arial"/>
          <w:color w:val="231f20"/>
        </w:rPr>
        <w:t xml:space="preserve">I – Descumprimento parcial ou total, por parte do detentor, das condições da ARP;</w:t>
      </w:r>
      <w:r/>
    </w:p>
    <w:p w14:paraId="42EF9DB2" w14:textId="77777777">
      <w:pPr>
        <w:pBdr/>
        <w:spacing/>
        <w:ind/>
        <w:jc w:val="both"/>
        <w:rPr>
          <w:rFonts w:ascii="Arial" w:cs="Arial"/>
          <w:color w:val="231f20"/>
        </w:rPr>
      </w:pPr>
      <w:r>
        <w:rPr>
          <w:rFonts w:ascii="Arial" w:cs="Arial"/>
          <w:color w:val="231f20"/>
        </w:rPr>
      </w:r>
      <w:r>
        <w:rPr>
          <w:rFonts w:ascii="Arial" w:cs="Arial"/>
          <w:color w:val="231f20"/>
        </w:rPr>
      </w:r>
    </w:p>
    <w:p w14:paraId="7D8195A5" w14:textId="77777777">
      <w:pPr>
        <w:pBdr/>
        <w:spacing/>
        <w:ind/>
        <w:jc w:val="both"/>
        <w:rPr/>
      </w:pPr>
      <w:r>
        <w:rPr>
          <w:rFonts w:ascii="Arial" w:hAnsi="Arial" w:cs="Arial"/>
          <w:b/>
          <w:color w:val="231f20"/>
        </w:rPr>
        <w:t xml:space="preserve">II </w:t>
      </w:r>
      <w:r>
        <w:rPr>
          <w:rFonts w:ascii="Arial" w:hAnsi="Arial" w:cs="Arial"/>
          <w:color w:val="231f20"/>
        </w:rPr>
        <w:t xml:space="preserve">– Quando o detentor não atender à convocação para firmar as obrigações contratuais decorrentes do registro de preços, não retirar ou não aceitar o instrumento equivalente no prazo estabelecido pelo órgão ou entidade gerenciadora;</w:t>
      </w:r>
      <w:r/>
    </w:p>
    <w:p w14:paraId="6F56CEEE" w14:textId="77777777">
      <w:pPr>
        <w:pBdr/>
        <w:spacing/>
        <w:ind/>
        <w:jc w:val="both"/>
        <w:rPr>
          <w:rFonts w:ascii="Arial" w:cs="Arial"/>
          <w:color w:val="231f20"/>
        </w:rPr>
      </w:pPr>
      <w:r>
        <w:rPr>
          <w:rFonts w:ascii="Arial" w:cs="Arial"/>
          <w:color w:val="231f20"/>
        </w:rPr>
      </w:r>
      <w:r>
        <w:rPr>
          <w:rFonts w:ascii="Arial" w:cs="Arial"/>
          <w:color w:val="231f20"/>
        </w:rPr>
      </w:r>
    </w:p>
    <w:p w14:paraId="704D6131" w14:textId="77777777">
      <w:pPr>
        <w:pBdr/>
        <w:spacing/>
        <w:ind/>
        <w:jc w:val="both"/>
        <w:rPr/>
      </w:pPr>
      <w:r>
        <w:rPr>
          <w:rFonts w:ascii="Arial" w:hAnsi="Arial" w:cs="Arial"/>
          <w:b/>
          <w:color w:val="231f20"/>
        </w:rPr>
        <w:t xml:space="preserve">III </w:t>
      </w:r>
      <w:r>
        <w:rPr>
          <w:rFonts w:ascii="Arial" w:hAnsi="Arial" w:cs="Arial"/>
          <w:color w:val="231f20"/>
        </w:rPr>
        <w:t xml:space="preserve">– Nas hipóteses de inexecução parcial ou total do contrato decorrente da ARP;</w:t>
      </w:r>
      <w:r/>
    </w:p>
    <w:p w14:paraId="639681D2" w14:textId="77777777">
      <w:pPr>
        <w:pBdr/>
        <w:spacing/>
        <w:ind/>
        <w:jc w:val="both"/>
        <w:rPr>
          <w:rFonts w:ascii="Arial" w:cs="Arial"/>
          <w:color w:val="231f20"/>
        </w:rPr>
      </w:pPr>
      <w:r>
        <w:rPr>
          <w:rFonts w:ascii="Arial" w:cs="Arial"/>
          <w:color w:val="231f20"/>
        </w:rPr>
      </w:r>
      <w:r>
        <w:rPr>
          <w:rFonts w:ascii="Arial" w:cs="Arial"/>
          <w:color w:val="231f20"/>
        </w:rPr>
      </w:r>
    </w:p>
    <w:p w14:paraId="1FFF3A38" w14:textId="77777777">
      <w:pPr>
        <w:pBdr/>
        <w:spacing/>
        <w:ind/>
        <w:jc w:val="both"/>
        <w:rPr/>
      </w:pPr>
      <w:r>
        <w:rPr>
          <w:rFonts w:ascii="Arial" w:hAnsi="Arial" w:cs="Arial"/>
          <w:b/>
          <w:color w:val="231f20"/>
        </w:rPr>
        <w:t xml:space="preserve">IV </w:t>
      </w:r>
      <w:r>
        <w:rPr>
          <w:rFonts w:ascii="Arial" w:hAnsi="Arial" w:cs="Arial"/>
          <w:color w:val="231f20"/>
        </w:rPr>
        <w:t xml:space="preserve">– Nas hipóteses dos preços registrados não </w:t>
      </w:r>
      <w:r>
        <w:rPr>
          <w:rFonts w:ascii="Arial" w:hAnsi="Arial" w:cs="Arial"/>
          <w:color w:val="231f20"/>
        </w:rPr>
        <w:t xml:space="preserve">estiverem compatíveis com os praticados no mercado e o detentor se recusar a adequá-los na forma solicitada pelo órgão ou pela entidade gerenciadora, prevista no edital e na ARP, observado o disposto nos arts. 309 e 310 do Decreto Municipal nº 11.685/2023;</w:t>
      </w:r>
      <w:r/>
    </w:p>
    <w:p w14:paraId="1D694386" w14:textId="77777777">
      <w:pPr>
        <w:pBdr/>
        <w:spacing/>
        <w:ind/>
        <w:jc w:val="both"/>
        <w:rPr>
          <w:rFonts w:ascii="Arial" w:cs="Arial"/>
          <w:color w:val="231f20"/>
        </w:rPr>
      </w:pPr>
      <w:r>
        <w:rPr>
          <w:rFonts w:ascii="Arial" w:cs="Arial"/>
          <w:color w:val="231f20"/>
        </w:rPr>
      </w:r>
      <w:r>
        <w:rPr>
          <w:rFonts w:ascii="Arial" w:cs="Arial"/>
          <w:color w:val="231f20"/>
        </w:rPr>
      </w:r>
    </w:p>
    <w:p w14:paraId="6A50229A" w14:textId="77777777">
      <w:pPr>
        <w:pBdr/>
        <w:spacing/>
        <w:ind/>
        <w:jc w:val="both"/>
        <w:rPr/>
      </w:pPr>
      <w:r>
        <w:rPr>
          <w:rFonts w:ascii="Arial" w:hAnsi="Arial" w:cs="Arial"/>
          <w:b/>
          <w:color w:val="231f20"/>
        </w:rPr>
        <w:t xml:space="preserve">V </w:t>
      </w:r>
      <w:r>
        <w:rPr>
          <w:rFonts w:ascii="Arial" w:hAnsi="Arial" w:cs="Arial"/>
          <w:color w:val="231f20"/>
        </w:rPr>
        <w:t xml:space="preserve">– Por razões de interesse público, reduzida a termo no processo;</w:t>
      </w:r>
      <w:r/>
    </w:p>
    <w:p w14:paraId="1F4C4D42" w14:textId="77777777">
      <w:pPr>
        <w:pBdr/>
        <w:spacing/>
        <w:ind/>
        <w:jc w:val="both"/>
        <w:rPr>
          <w:rFonts w:ascii="Arial" w:cs="Arial"/>
          <w:color w:val="231f20"/>
        </w:rPr>
      </w:pPr>
      <w:r>
        <w:rPr>
          <w:rFonts w:ascii="Arial" w:cs="Arial"/>
          <w:color w:val="231f20"/>
        </w:rPr>
      </w:r>
      <w:r>
        <w:rPr>
          <w:rFonts w:ascii="Arial" w:cs="Arial"/>
          <w:color w:val="231f20"/>
        </w:rPr>
      </w:r>
    </w:p>
    <w:p w14:paraId="4D3C9240" w14:textId="77777777">
      <w:pPr>
        <w:pBdr/>
        <w:spacing/>
        <w:ind/>
        <w:jc w:val="both"/>
        <w:rPr/>
      </w:pPr>
      <w:r>
        <w:rPr>
          <w:rFonts w:ascii="Arial" w:hAnsi="Arial" w:cs="Arial"/>
          <w:b/>
          <w:color w:val="231f20"/>
        </w:rPr>
        <w:t xml:space="preserve">VI</w:t>
      </w:r>
      <w:r>
        <w:rPr>
          <w:rFonts w:ascii="Arial" w:hAnsi="Arial" w:cs="Arial"/>
          <w:color w:val="231f20"/>
        </w:rPr>
        <w:t xml:space="preserve"> – Por fato s</w:t>
      </w:r>
      <w:r>
        <w:rPr>
          <w:rFonts w:ascii="Arial" w:hAnsi="Arial" w:cs="Arial"/>
          <w:color w:val="231f2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p>
    <w:p w14:paraId="27C380B6" w14:textId="77777777">
      <w:pPr>
        <w:pBdr/>
        <w:spacing/>
        <w:ind/>
        <w:jc w:val="both"/>
        <w:rPr>
          <w:rFonts w:ascii="Arial" w:cs="Arial"/>
          <w:color w:val="231f20"/>
        </w:rPr>
      </w:pPr>
      <w:r>
        <w:rPr>
          <w:rFonts w:ascii="Arial" w:cs="Arial"/>
          <w:color w:val="231f20"/>
        </w:rPr>
      </w:r>
      <w:r>
        <w:rPr>
          <w:rFonts w:ascii="Arial" w:cs="Arial"/>
          <w:color w:val="231f20"/>
        </w:rPr>
      </w:r>
    </w:p>
    <w:p w14:paraId="122D8955" w14:textId="77777777">
      <w:pPr>
        <w:pBdr/>
        <w:spacing/>
        <w:ind/>
        <w:jc w:val="both"/>
        <w:rPr/>
      </w:pPr>
      <w:r>
        <w:rPr>
          <w:rFonts w:ascii="Arial" w:hAnsi="Arial" w:cs="Arial"/>
          <w:b/>
          <w:color w:val="231f20"/>
        </w:rPr>
        <w:t xml:space="preserve">VII</w:t>
      </w:r>
      <w:r>
        <w:rPr>
          <w:rFonts w:ascii="Arial" w:hAnsi="Arial" w:cs="Arial"/>
          <w:color w:val="231f20"/>
        </w:rPr>
        <w:t xml:space="preserve"> – Quando o detentor for suspenso ou impedido de licitar e contratar com a administração municipal;</w:t>
      </w:r>
      <w:r/>
    </w:p>
    <w:p w14:paraId="77FA32BB" w14:textId="77777777">
      <w:pPr>
        <w:pBdr/>
        <w:spacing/>
        <w:ind/>
        <w:jc w:val="both"/>
        <w:rPr>
          <w:rFonts w:ascii="Arial" w:cs="Arial"/>
          <w:color w:val="231f20"/>
        </w:rPr>
      </w:pPr>
      <w:r>
        <w:rPr>
          <w:rFonts w:ascii="Arial" w:cs="Arial"/>
          <w:color w:val="231f20"/>
        </w:rPr>
      </w:r>
      <w:r>
        <w:rPr>
          <w:rFonts w:ascii="Arial" w:cs="Arial"/>
          <w:color w:val="231f20"/>
        </w:rPr>
      </w:r>
    </w:p>
    <w:p w14:paraId="54791A42" w14:textId="77777777">
      <w:pPr>
        <w:pBdr/>
        <w:spacing/>
        <w:ind/>
        <w:jc w:val="both"/>
        <w:rPr/>
      </w:pPr>
      <w:r>
        <w:rPr>
          <w:rFonts w:ascii="Arial" w:hAnsi="Arial" w:cs="Arial"/>
          <w:b/>
          <w:color w:val="231f20"/>
        </w:rPr>
        <w:t xml:space="preserve">VIII</w:t>
      </w:r>
      <w:r>
        <w:rPr>
          <w:rFonts w:ascii="Arial" w:hAnsi="Arial" w:cs="Arial"/>
          <w:color w:val="231f20"/>
        </w:rPr>
        <w:t xml:space="preserve"> – Quando o detentor for declarado inidôneo para licitar ou contratar com a administração pública;</w:t>
      </w:r>
      <w:r/>
    </w:p>
    <w:p w14:paraId="44F1263A" w14:textId="77777777">
      <w:pPr>
        <w:pBdr/>
        <w:spacing/>
        <w:ind/>
        <w:jc w:val="both"/>
        <w:rPr>
          <w:rFonts w:ascii="Arial" w:cs="Arial"/>
          <w:color w:val="231f20"/>
        </w:rPr>
      </w:pPr>
      <w:r>
        <w:rPr>
          <w:rFonts w:ascii="Arial" w:cs="Arial"/>
          <w:color w:val="231f20"/>
        </w:rPr>
      </w:r>
      <w:r>
        <w:rPr>
          <w:rFonts w:ascii="Arial" w:cs="Arial"/>
          <w:color w:val="231f20"/>
        </w:rPr>
      </w:r>
    </w:p>
    <w:p w14:paraId="72544726" w14:textId="77777777">
      <w:pPr>
        <w:pBdr/>
        <w:spacing/>
        <w:ind/>
        <w:jc w:val="both"/>
        <w:rPr/>
      </w:pPr>
      <w:r>
        <w:rPr>
          <w:rFonts w:ascii="Arial" w:hAnsi="Arial" w:cs="Arial"/>
          <w:b/>
          <w:color w:val="231f20"/>
        </w:rPr>
        <w:t xml:space="preserve">IX</w:t>
      </w:r>
      <w:r>
        <w:rPr>
          <w:rFonts w:ascii="Arial" w:hAnsi="Arial" w:cs="Arial"/>
          <w:color w:val="231f20"/>
        </w:rPr>
        <w:t xml:space="preserve"> – Amigavelmente, por acordo entre as partes, reduzida a termo no processo, desde que haja conveniência para a administração;</w:t>
      </w:r>
      <w:r/>
    </w:p>
    <w:p w14:paraId="263A72F8" w14:textId="77777777">
      <w:pPr>
        <w:pBdr/>
        <w:spacing/>
        <w:ind/>
        <w:jc w:val="both"/>
        <w:rPr>
          <w:rFonts w:ascii="Arial" w:cs="Arial"/>
          <w:color w:val="231f20"/>
        </w:rPr>
      </w:pPr>
      <w:r>
        <w:rPr>
          <w:rFonts w:ascii="Arial" w:cs="Arial"/>
          <w:color w:val="231f20"/>
        </w:rPr>
      </w:r>
      <w:r>
        <w:rPr>
          <w:rFonts w:ascii="Arial" w:cs="Arial"/>
          <w:color w:val="231f20"/>
        </w:rPr>
      </w:r>
    </w:p>
    <w:p w14:paraId="2B5958CE" w14:textId="77777777">
      <w:pPr>
        <w:pBdr/>
        <w:spacing/>
        <w:ind/>
        <w:jc w:val="both"/>
        <w:rPr/>
      </w:pPr>
      <w:r>
        <w:rPr>
          <w:rFonts w:ascii="Arial" w:hAnsi="Arial" w:cs="Arial"/>
          <w:b/>
          <w:color w:val="231f20"/>
        </w:rPr>
        <w:t xml:space="preserve">X</w:t>
      </w:r>
      <w:r>
        <w:rPr>
          <w:rFonts w:ascii="Arial" w:hAnsi="Arial" w:cs="Arial"/>
          <w:color w:val="231f20"/>
        </w:rPr>
        <w:t xml:space="preserve"> – Por ordem judicial.</w:t>
      </w:r>
      <w:r/>
    </w:p>
    <w:p w14:paraId="1DB09FF8" w14:textId="77777777">
      <w:pPr>
        <w:pBdr/>
        <w:spacing/>
        <w:ind/>
        <w:jc w:val="both"/>
        <w:rPr>
          <w:rFonts w:ascii="Arial" w:cs="Arial"/>
          <w:color w:val="231f20"/>
        </w:rPr>
      </w:pPr>
      <w:r>
        <w:rPr>
          <w:rFonts w:ascii="Arial" w:cs="Arial"/>
          <w:color w:val="231f20"/>
        </w:rPr>
      </w:r>
      <w:r>
        <w:rPr>
          <w:rFonts w:ascii="Arial" w:cs="Arial"/>
          <w:color w:val="231f20"/>
        </w:rPr>
      </w:r>
    </w:p>
    <w:p w14:paraId="1BF5AB5D" w14:textId="77777777">
      <w:pPr>
        <w:pBdr/>
        <w:spacing/>
        <w:ind/>
        <w:jc w:val="both"/>
        <w:rPr/>
      </w:pPr>
      <w:r>
        <w:rPr>
          <w:rFonts w:ascii="Arial" w:hAnsi="Arial" w:cs="Arial"/>
          <w:b/>
          <w:color w:val="231f20"/>
        </w:rPr>
        <w:t xml:space="preserve">XI </w:t>
      </w:r>
      <w:r>
        <w:rPr>
          <w:rFonts w:ascii="Arial" w:hAnsi="Arial" w:cs="Arial"/>
          <w:color w:val="231f20"/>
        </w:rPr>
        <w:t xml:space="preserve">- No caso de alteração social ou modificação da finalidade ou da estrutura da empresa que restrinja sua capacidade de concluir o contrato.</w:t>
      </w:r>
      <w:r/>
    </w:p>
    <w:p w14:paraId="3ABBC017" w14:textId="77777777">
      <w:pPr>
        <w:pBdr/>
        <w:spacing/>
        <w:ind/>
        <w:jc w:val="both"/>
        <w:rPr>
          <w:rFonts w:ascii="Arial" w:cs="Arial"/>
          <w:color w:val="231f20"/>
        </w:rPr>
      </w:pPr>
      <w:r>
        <w:rPr>
          <w:rFonts w:ascii="Arial" w:cs="Arial"/>
          <w:color w:val="231f20"/>
        </w:rPr>
      </w:r>
      <w:r>
        <w:rPr>
          <w:rFonts w:ascii="Arial" w:cs="Arial"/>
          <w:color w:val="231f20"/>
        </w:rPr>
      </w:r>
    </w:p>
    <w:p w14:paraId="4FC4F9C3" w14:textId="77777777">
      <w:pPr>
        <w:pBdr/>
        <w:spacing/>
        <w:ind/>
        <w:jc w:val="both"/>
        <w:rPr/>
      </w:pPr>
      <w:r>
        <w:rPr>
          <w:rFonts w:ascii="Arial" w:hAnsi="Arial" w:cs="Arial"/>
          <w:b/>
          <w:color w:val="231f20"/>
        </w:rPr>
        <w:t xml:space="preserve">XII</w:t>
      </w:r>
      <w:r>
        <w:rPr>
          <w:rFonts w:ascii="Arial" w:hAnsi="Arial" w:cs="Arial"/>
          <w:color w:val="231f20"/>
        </w:rPr>
        <w:t xml:space="preserve"> - Nos casos em que o Detentor estiver envolvido em casos de corrupção, nos termos da Lei Federal nº 12.846, de 1º de agosto de 2013. </w:t>
      </w:r>
      <w:r/>
    </w:p>
    <w:p w14:paraId="52AE8BA6" w14:textId="77777777">
      <w:pPr>
        <w:pBdr/>
        <w:spacing/>
        <w:ind/>
        <w:jc w:val="both"/>
        <w:rPr>
          <w:rFonts w:ascii="Arial" w:cs="Arial"/>
          <w:color w:val="231f20"/>
        </w:rPr>
      </w:pPr>
      <w:r>
        <w:rPr>
          <w:rFonts w:ascii="Arial" w:cs="Arial"/>
          <w:color w:val="231f20"/>
        </w:rPr>
      </w:r>
      <w:r>
        <w:rPr>
          <w:rFonts w:ascii="Arial" w:cs="Arial"/>
          <w:color w:val="231f20"/>
        </w:rPr>
      </w:r>
    </w:p>
    <w:p w14:paraId="0D304908" w14:textId="77777777">
      <w:pPr>
        <w:pBdr/>
        <w:spacing/>
        <w:ind/>
        <w:jc w:val="both"/>
        <w:rPr/>
      </w:pPr>
      <w:r>
        <w:rPr>
          <w:rFonts w:ascii="Arial" w:hAnsi="Arial" w:cs="Arial"/>
          <w:b/>
          <w:color w:val="231f20"/>
        </w:rPr>
        <w:t xml:space="preserve">XIII</w:t>
      </w:r>
      <w:r>
        <w:rPr>
          <w:rFonts w:ascii="Arial" w:hAnsi="Arial" w:cs="Arial"/>
          <w:color w:val="231f20"/>
        </w:rPr>
        <w:t xml:space="preserve"> – No caso de não cumprimento da regra referente à subcontratação prevista no Termo de Referência.</w:t>
      </w:r>
      <w:r/>
    </w:p>
    <w:p w14:paraId="106E76B3" w14:textId="77777777">
      <w:pPr>
        <w:pBdr/>
        <w:spacing/>
        <w:ind/>
        <w:jc w:val="both"/>
        <w:rPr>
          <w:rFonts w:ascii="Arial" w:cs="Arial"/>
          <w:color w:val="231f20"/>
        </w:rPr>
      </w:pPr>
      <w:r>
        <w:rPr>
          <w:rFonts w:ascii="Arial" w:cs="Arial"/>
          <w:color w:val="231f20"/>
        </w:rPr>
      </w:r>
      <w:r>
        <w:rPr>
          <w:rFonts w:ascii="Arial" w:cs="Arial"/>
          <w:color w:val="231f20"/>
        </w:rPr>
      </w:r>
    </w:p>
    <w:p w14:paraId="78CC6CBE" w14:textId="77777777">
      <w:pPr>
        <w:pBdr/>
        <w:spacing/>
        <w:ind/>
        <w:jc w:val="both"/>
        <w:rPr/>
      </w:pPr>
      <w:r>
        <w:rPr>
          <w:rFonts w:ascii="Arial" w:hAnsi="Arial" w:cs="Arial"/>
          <w:b/>
          <w:color w:val="231f20"/>
        </w:rPr>
        <w:t xml:space="preserve">14.2.</w:t>
      </w:r>
      <w:r>
        <w:rPr>
          <w:rFonts w:ascii="Arial" w:cs="Arial"/>
          <w:color w:val="231f20"/>
        </w:rPr>
        <w:tab/>
      </w:r>
      <w:r>
        <w:rPr>
          <w:rFonts w:ascii="Arial" w:hAnsi="Arial" w:cs="Arial"/>
          <w:color w:val="231f20"/>
        </w:rPr>
        <w:t xml:space="preserve">A notificação do Órgã</w:t>
      </w:r>
      <w:r>
        <w:rPr>
          <w:rFonts w:ascii="Arial" w:hAnsi="Arial" w:cs="Arial"/>
          <w:color w:val="231f20"/>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p>
    <w:p w14:paraId="5574AC4F" w14:textId="77777777">
      <w:pPr>
        <w:pBdr/>
        <w:spacing/>
        <w:ind/>
        <w:jc w:val="both"/>
        <w:rPr>
          <w:rFonts w:ascii="Arial" w:cs="Arial"/>
          <w:color w:val="231f20"/>
        </w:rPr>
      </w:pPr>
      <w:r>
        <w:rPr>
          <w:rFonts w:ascii="Arial" w:cs="Arial"/>
          <w:color w:val="231f20"/>
        </w:rPr>
      </w:r>
      <w:r>
        <w:rPr>
          <w:rFonts w:ascii="Arial" w:cs="Arial"/>
          <w:color w:val="231f20"/>
        </w:rPr>
      </w:r>
    </w:p>
    <w:p w14:paraId="78033321" w14:textId="77777777">
      <w:pPr>
        <w:pBdr/>
        <w:spacing/>
        <w:ind/>
        <w:jc w:val="both"/>
        <w:rPr/>
      </w:pPr>
      <w:r>
        <w:rPr>
          <w:rFonts w:ascii="Arial" w:hAnsi="Arial" w:cs="Arial"/>
          <w:b/>
          <w:color w:val="231f20"/>
        </w:rPr>
        <w:t xml:space="preserve">14.3.</w:t>
      </w:r>
      <w:r>
        <w:rPr>
          <w:rFonts w:ascii="Arial" w:hAnsi="Arial" w:cs="Arial"/>
          <w:color w:val="231f20"/>
        </w:rPr>
        <w:t xml:space="preserve"> A solicitação do Detentor para cancelamento do registro de preço deverá ser formulada por escrito, assegurando-se o fornecimento do bem regis</w:t>
      </w:r>
      <w:r>
        <w:rPr>
          <w:rFonts w:ascii="Arial" w:hAnsi="Arial" w:cs="Arial"/>
          <w:color w:val="231f20"/>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p>
    <w:p w14:paraId="2DCD706D" w14:textId="77777777">
      <w:pPr>
        <w:pBdr/>
        <w:spacing/>
        <w:ind/>
        <w:jc w:val="both"/>
        <w:rPr>
          <w:rFonts w:ascii="Arial" w:cs="Arial"/>
          <w:color w:val="231f20"/>
        </w:rPr>
      </w:pPr>
      <w:r>
        <w:rPr>
          <w:rFonts w:ascii="Arial" w:cs="Arial"/>
          <w:color w:val="231f20"/>
        </w:rPr>
      </w:r>
      <w:r>
        <w:rPr>
          <w:rFonts w:ascii="Arial" w:cs="Arial"/>
          <w:color w:val="231f20"/>
        </w:rPr>
      </w:r>
    </w:p>
    <w:p w14:paraId="3D5ECDC1" w14:textId="77777777">
      <w:pPr>
        <w:pBdr/>
        <w:spacing/>
        <w:ind/>
        <w:jc w:val="both"/>
        <w:rPr/>
      </w:pPr>
      <w:r>
        <w:rPr>
          <w:rFonts w:ascii="Arial" w:hAnsi="Arial" w:cs="Arial"/>
          <w:b/>
          <w:color w:val="231f20"/>
        </w:rPr>
        <w:t xml:space="preserve">14.4.</w:t>
      </w:r>
      <w:r>
        <w:rPr>
          <w:rFonts w:ascii="Arial" w:cs="Arial"/>
          <w:color w:val="231f20"/>
        </w:rPr>
        <w:tab/>
      </w:r>
      <w:r>
        <w:rPr>
          <w:rFonts w:ascii="Arial" w:hAnsi="Arial" w:cs="Arial"/>
          <w:color w:val="231f20"/>
        </w:rPr>
        <w:t xml:space="preserve">O Detentor poderá solicitar</w:t>
      </w:r>
      <w:r>
        <w:rPr>
          <w:rFonts w:ascii="Arial" w:hAnsi="Arial" w:cs="Arial"/>
          <w:color w:val="231f20"/>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p>
    <w:p w14:paraId="79083BE1" w14:textId="77777777">
      <w:pPr>
        <w:pBdr/>
        <w:spacing/>
        <w:ind/>
        <w:jc w:val="both"/>
        <w:rPr>
          <w:rFonts w:ascii="Arial" w:cs="Arial"/>
          <w:color w:val="231f20"/>
        </w:rPr>
      </w:pPr>
      <w:r>
        <w:rPr>
          <w:rFonts w:ascii="Arial" w:cs="Arial"/>
          <w:color w:val="231f20"/>
        </w:rPr>
      </w:r>
      <w:r>
        <w:rPr>
          <w:rFonts w:ascii="Arial" w:cs="Arial"/>
          <w:color w:val="231f20"/>
        </w:rPr>
      </w:r>
    </w:p>
    <w:p w14:paraId="4BEE0D9D" w14:textId="77777777">
      <w:pPr>
        <w:pBdr/>
        <w:spacing/>
        <w:ind/>
        <w:jc w:val="both"/>
        <w:rPr/>
      </w:pPr>
      <w:r>
        <w:rPr>
          <w:rFonts w:ascii="Arial" w:hAnsi="Arial" w:cs="Arial"/>
          <w:b/>
          <w:color w:val="231f20"/>
        </w:rPr>
        <w:t xml:space="preserve">14.5.</w:t>
      </w:r>
      <w:r>
        <w:rPr>
          <w:rFonts w:ascii="Arial" w:cs="Arial"/>
          <w:color w:val="231f20"/>
        </w:rPr>
        <w:tab/>
      </w:r>
      <w:r>
        <w:rPr>
          <w:rFonts w:ascii="Arial" w:hAnsi="Arial" w:cs="Arial"/>
          <w:color w:val="231f20"/>
        </w:rPr>
        <w:t xml:space="preserve">O cancelamento da ARP não afasta a possibilidade de aplicação de sanções, observadas as competências previstas no Decreto Municipal nº 11.685/2023.</w:t>
      </w:r>
      <w:r/>
    </w:p>
    <w:p w14:paraId="068D2903" w14:textId="77777777">
      <w:pPr>
        <w:pBdr/>
        <w:spacing/>
        <w:ind/>
        <w:jc w:val="both"/>
        <w:rPr>
          <w:rFonts w:ascii="Arial" w:cs="Arial"/>
          <w:color w:val="231f20"/>
        </w:rPr>
      </w:pPr>
      <w:r>
        <w:rPr>
          <w:rFonts w:ascii="Arial" w:cs="Arial"/>
          <w:color w:val="231f20"/>
        </w:rPr>
      </w:r>
      <w:r>
        <w:rPr>
          <w:rFonts w:ascii="Arial" w:cs="Arial"/>
          <w:color w:val="231f20"/>
        </w:rPr>
      </w:r>
    </w:p>
    <w:p w14:paraId="706B1DEC" w14:textId="77777777">
      <w:pPr>
        <w:pBdr/>
        <w:spacing/>
        <w:ind/>
        <w:jc w:val="both"/>
        <w:rPr/>
      </w:pPr>
      <w:r>
        <w:rPr>
          <w:rFonts w:ascii="Arial" w:hAnsi="Arial" w:cs="Arial"/>
          <w:b/>
          <w:color w:val="231f20"/>
        </w:rPr>
        <w:t xml:space="preserve">14.6.</w:t>
      </w:r>
      <w:r>
        <w:rPr>
          <w:rFonts w:ascii="Arial" w:hAnsi="Arial" w:cs="Arial"/>
          <w:color w:val="231f20"/>
        </w:rPr>
        <w:t xml:space="preserve"> O cancelamento do Registro, nas hipóteses previstas, será formalizado por despacho da Autoridade Superior do Órgão ou Entidade Gerenciadora e publicado no DIORONDON</w:t>
      </w:r>
      <w:r/>
    </w:p>
    <w:p w14:paraId="5867CBA9" w14:textId="77777777">
      <w:pPr>
        <w:pBdr/>
        <w:spacing/>
        <w:ind/>
        <w:jc w:val="both"/>
        <w:rPr>
          <w:rFonts w:ascii="Arial" w:cs="Arial"/>
          <w:color w:val="231f20"/>
        </w:rPr>
      </w:pPr>
      <w:r>
        <w:rPr>
          <w:rFonts w:ascii="Arial" w:cs="Arial"/>
          <w:color w:val="231f20"/>
        </w:rPr>
      </w:r>
      <w:r>
        <w:rPr>
          <w:rFonts w:ascii="Arial" w:cs="Arial"/>
          <w:color w:val="231f20"/>
        </w:rPr>
      </w:r>
    </w:p>
    <w:p w14:paraId="20FD0603" w14:textId="77777777">
      <w:pPr>
        <w:pBdr/>
        <w:spacing/>
        <w:ind/>
        <w:jc w:val="both"/>
        <w:rPr/>
      </w:pPr>
      <w:r>
        <w:rPr>
          <w:rFonts w:ascii="Arial" w:hAnsi="Arial" w:cs="Arial"/>
          <w:b/>
        </w:rPr>
        <w:t xml:space="preserve">CLÁUSULA DÉCIMA QUINTA – DA ADESÃO EM ATA DE REGISTRO DE PREÇOS:</w:t>
      </w:r>
      <w:r/>
    </w:p>
    <w:p w14:paraId="59A8A5FE" w14:textId="77777777">
      <w:pPr>
        <w:pBdr/>
        <w:spacing w:after="240" w:before="240"/>
        <w:ind/>
        <w:jc w:val="both"/>
        <w:rPr>
          <w:rFonts w:ascii="Arial" w:hAnsi="Arial" w:eastAsia="Arial" w:cs="Arial"/>
        </w:rPr>
      </w:pPr>
      <w:r>
        <w:rPr>
          <w:rFonts w:ascii="Arial" w:hAnsi="Arial" w:cs="Arial"/>
          <w:b/>
          <w:color w:val="000000"/>
        </w:rPr>
        <w:t xml:space="preserve">15.1.</w:t>
      </w:r>
      <w:r>
        <w:rPr>
          <w:rFonts w:ascii="Arial" w:hAnsi="Arial" w:cs="Arial"/>
          <w:color w:val="000000"/>
        </w:rPr>
        <w:t xml:space="preserve"> </w:t>
      </w:r>
      <w:r>
        <w:rPr>
          <w:rFonts w:ascii="Arial" w:hAnsi="Arial" w:eastAsia="Arial" w:cs="Arial"/>
        </w:rPr>
        <w:t xml:space="preserve">Nos termos do artigo 86, inciso III, da Lei nº 14.133/2021, </w:t>
      </w:r>
      <w:r>
        <w:rPr>
          <w:rFonts w:ascii="Arial" w:hAnsi="Arial" w:eastAsia="Arial" w:cs="Arial"/>
          <w:b/>
        </w:rPr>
        <w:t xml:space="preserve">fica autorizada a adesão à Ata de Registro de Preços por órgãos ou entidades da Administração Pública que não tenham participado do respectivo processo licitatório</w:t>
      </w:r>
      <w:r>
        <w:rPr>
          <w:rFonts w:ascii="Arial" w:hAnsi="Arial" w:eastAsia="Arial" w:cs="Arial"/>
        </w:rPr>
        <w:t xml:space="preserve">, mediante prévia justificativa da vantajosidade da contratação, observados os seguintes critérios:</w:t>
      </w:r>
      <w:r>
        <w:rPr>
          <w:rFonts w:ascii="Arial" w:hAnsi="Arial" w:eastAsia="Arial" w:cs="Arial"/>
        </w:rPr>
      </w:r>
    </w:p>
    <w:p w14:paraId="35F4DE8F" w14:textId="77777777">
      <w:pPr>
        <w:pBdr/>
        <w:spacing w:after="240" w:before="240"/>
        <w:ind/>
        <w:jc w:val="both"/>
        <w:rPr>
          <w:rFonts w:ascii="Arial" w:hAnsi="Arial" w:eastAsia="Arial" w:cs="Arial"/>
        </w:rPr>
      </w:pPr>
      <w:r>
        <w:rPr>
          <w:rFonts w:ascii="Arial" w:hAnsi="Arial" w:eastAsia="Arial" w:cs="Arial"/>
          <w:b/>
        </w:rPr>
        <w:t xml:space="preserve">15.1.</w:t>
      </w:r>
      <w:r>
        <w:rPr>
          <w:rFonts w:ascii="Arial" w:hAnsi="Arial" w:eastAsia="Arial" w:cs="Arial"/>
        </w:rPr>
        <w:t xml:space="preserve"> A adesão (“carona”) somente poderá ocorrer </w:t>
      </w:r>
      <w:r>
        <w:rPr>
          <w:rFonts w:ascii="Arial" w:hAnsi="Arial" w:eastAsia="Arial" w:cs="Arial"/>
          <w:b/>
        </w:rPr>
        <w:t xml:space="preserve">durante a vigência da Ata de Registro de Preços</w:t>
      </w:r>
      <w:r>
        <w:rPr>
          <w:rFonts w:ascii="Arial" w:hAnsi="Arial" w:eastAsia="Arial" w:cs="Arial"/>
        </w:rPr>
        <w:t xml:space="preserve">, respeitados os quantitativos máximos registrados, incluídas eventuais contratações decorrentes de adesões.</w:t>
      </w:r>
      <w:r>
        <w:rPr>
          <w:rFonts w:ascii="Arial" w:hAnsi="Arial" w:eastAsia="Arial" w:cs="Arial"/>
        </w:rPr>
      </w:r>
    </w:p>
    <w:p w14:paraId="0E0AF343" w14:textId="77777777">
      <w:pPr>
        <w:pBdr/>
        <w:spacing w:after="240" w:before="240"/>
        <w:ind/>
        <w:jc w:val="both"/>
        <w:rPr>
          <w:rFonts w:ascii="Arial" w:hAnsi="Arial" w:eastAsia="Arial" w:cs="Arial"/>
        </w:rPr>
      </w:pPr>
      <w:r>
        <w:rPr>
          <w:rFonts w:ascii="Arial" w:hAnsi="Arial" w:eastAsia="Arial" w:cs="Arial"/>
          <w:b/>
        </w:rPr>
        <w:t xml:space="preserve">15.2.</w:t>
      </w:r>
      <w:r>
        <w:rPr>
          <w:rFonts w:ascii="Arial" w:hAnsi="Arial" w:eastAsia="Arial" w:cs="Arial"/>
        </w:rPr>
        <w:t xml:space="preserve"> O órgão ou entidade não participante deverá </w:t>
      </w:r>
      <w:r>
        <w:rPr>
          <w:rFonts w:ascii="Arial" w:hAnsi="Arial" w:eastAsia="Arial" w:cs="Arial"/>
          <w:b/>
        </w:rPr>
        <w:t xml:space="preserve">consultar previamente a Administração Gerenciadora</w:t>
      </w:r>
      <w:r>
        <w:rPr>
          <w:rFonts w:ascii="Arial" w:hAnsi="Arial" w:eastAsia="Arial" w:cs="Arial"/>
        </w:rPr>
        <w:t xml:space="preserve">, que avaliará a viabilidade e a conveniência da adesão, com base em manifestação técnica e jurídica.</w:t>
      </w:r>
      <w:r>
        <w:rPr>
          <w:rFonts w:ascii="Arial" w:hAnsi="Arial" w:eastAsia="Arial" w:cs="Arial"/>
        </w:rPr>
      </w:r>
    </w:p>
    <w:p w14:paraId="5523069D" w14:textId="77777777">
      <w:pPr>
        <w:pBdr/>
        <w:spacing w:after="240" w:before="240"/>
        <w:ind/>
        <w:jc w:val="both"/>
        <w:rPr>
          <w:rFonts w:ascii="Arial" w:hAnsi="Arial" w:eastAsia="Arial" w:cs="Arial"/>
        </w:rPr>
      </w:pPr>
      <w:r>
        <w:rPr>
          <w:rFonts w:ascii="Arial" w:hAnsi="Arial" w:eastAsia="Arial" w:cs="Arial"/>
          <w:b/>
        </w:rPr>
        <w:t xml:space="preserve">15.3.</w:t>
      </w:r>
      <w:r>
        <w:rPr>
          <w:rFonts w:ascii="Arial" w:hAnsi="Arial" w:eastAsia="Arial" w:cs="Arial"/>
        </w:rPr>
        <w:t xml:space="preserve"> A adjudicatária deverá manifestar </w:t>
      </w:r>
      <w:r>
        <w:rPr>
          <w:rFonts w:ascii="Arial" w:hAnsi="Arial" w:eastAsia="Arial" w:cs="Arial"/>
          <w:b/>
        </w:rPr>
        <w:t xml:space="preserve">aceite formal</w:t>
      </w:r>
      <w:r>
        <w:rPr>
          <w:rFonts w:ascii="Arial" w:hAnsi="Arial" w:eastAsia="Arial" w:cs="Arial"/>
        </w:rPr>
        <w:t xml:space="preserve"> quanto à adesão, observando os preços e as condições constantes na Ata de Registro de Preços original.</w:t>
      </w:r>
      <w:r>
        <w:rPr>
          <w:rFonts w:ascii="Arial" w:hAnsi="Arial" w:eastAsia="Arial" w:cs="Arial"/>
        </w:rPr>
      </w:r>
    </w:p>
    <w:p w14:paraId="3BC1947F" w14:textId="77777777">
      <w:pPr>
        <w:pBdr/>
        <w:spacing w:after="240" w:before="240"/>
        <w:ind/>
        <w:jc w:val="both"/>
        <w:rPr>
          <w:rFonts w:ascii="Arial" w:hAnsi="Arial" w:eastAsia="Arial" w:cs="Arial"/>
        </w:rPr>
      </w:pPr>
      <w:r>
        <w:rPr>
          <w:rFonts w:ascii="Arial" w:hAnsi="Arial" w:eastAsia="Arial" w:cs="Arial"/>
          <w:b/>
        </w:rPr>
        <w:t xml:space="preserve">15.4.</w:t>
      </w:r>
      <w:r>
        <w:rPr>
          <w:rFonts w:ascii="Arial" w:hAnsi="Arial" w:eastAsia="Arial" w:cs="Arial"/>
        </w:rPr>
        <w:t xml:space="preserve"> O quantitativo total decorrente das adesões </w:t>
      </w:r>
      <w:r>
        <w:rPr>
          <w:rFonts w:ascii="Arial" w:hAnsi="Arial" w:eastAsia="Arial" w:cs="Arial"/>
          <w:b/>
        </w:rPr>
        <w:t xml:space="preserve">não poderá exceder ao quíntuplo</w:t>
      </w:r>
      <w:r>
        <w:rPr>
          <w:rFonts w:ascii="Arial" w:hAnsi="Arial" w:eastAsia="Arial" w:cs="Arial"/>
        </w:rPr>
        <w:t xml:space="preserve"> do quantitativo registrado para cada item, conforme limite fixado no §4º e §6º do art. 86 da lei 14.133/2021, aplicável subsidiariamente até a edição de norma específica pelo ente federativo, salvo disposição diversa expressamente justificada no processo.</w:t>
      </w:r>
      <w:r>
        <w:rPr>
          <w:rFonts w:ascii="Arial" w:hAnsi="Arial" w:eastAsia="Arial" w:cs="Arial"/>
        </w:rPr>
      </w:r>
    </w:p>
    <w:p w14:paraId="0C6A8F5A" w14:textId="77777777">
      <w:pPr>
        <w:pBdr/>
        <w:spacing w:after="240" w:before="240"/>
        <w:ind/>
        <w:jc w:val="both"/>
        <w:rPr>
          <w:rFonts w:ascii="Arial" w:hAnsi="Arial" w:eastAsia="Arial" w:cs="Arial"/>
          <w:b/>
        </w:rPr>
      </w:pPr>
      <w:r>
        <w:rPr>
          <w:rFonts w:ascii="Arial" w:hAnsi="Arial" w:eastAsia="Arial" w:cs="Arial"/>
          <w:b/>
        </w:rPr>
        <w:t xml:space="preserve">15.5.</w:t>
      </w:r>
      <w:r>
        <w:rPr>
          <w:rFonts w:ascii="Arial" w:hAnsi="Arial" w:eastAsia="Arial" w:cs="Arial"/>
        </w:rPr>
        <w:t xml:space="preserve"> Cada adesão deverá ser formalizada por meio de </w:t>
      </w:r>
      <w:r>
        <w:rPr>
          <w:rFonts w:ascii="Arial" w:hAnsi="Arial" w:eastAsia="Arial" w:cs="Arial"/>
          <w:b/>
        </w:rPr>
        <w:t xml:space="preserve">instrumento próprio de contratação direta</w:t>
      </w:r>
      <w:r>
        <w:rPr>
          <w:rFonts w:ascii="Arial" w:hAnsi="Arial" w:eastAsia="Arial" w:cs="Arial"/>
        </w:rPr>
        <w:t xml:space="preserve"> entre o órgão não participante e o fornecedor registrado, cabendo àquele a integral responsabilidade pelo acompanhamento e fiscalização da execução contratual.</w:t>
      </w:r>
      <w:r>
        <w:rPr>
          <w:rFonts w:ascii="Arial" w:hAnsi="Arial" w:eastAsia="Arial" w:cs="Arial"/>
          <w:b/>
        </w:rPr>
      </w:r>
    </w:p>
    <w:p w14:paraId="7F7EB69D" w14:textId="77777777">
      <w:pPr>
        <w:pBdr/>
        <w:spacing/>
        <w:ind/>
        <w:jc w:val="both"/>
        <w:rPr/>
      </w:pPr>
      <w:r>
        <w:rPr>
          <w:rFonts w:ascii="Arial" w:hAnsi="Arial" w:cs="Arial"/>
          <w:b/>
        </w:rPr>
        <w:t xml:space="preserve">CLÁUSULA DÉCIMA SEXTA – DA PROTEÇÃO E TRANSMISSÃO DE INFORMAÇÃO, DADOS PESSOAIS E/OU BASE DE DADOS:</w:t>
      </w:r>
      <w:r/>
    </w:p>
    <w:p w14:paraId="3B30A05E" w14:textId="77777777">
      <w:pPr>
        <w:pBdr/>
        <w:spacing/>
        <w:ind/>
        <w:jc w:val="both"/>
        <w:rPr>
          <w:rFonts w:ascii="Arial" w:cs="Arial"/>
          <w:color w:val="231f20"/>
        </w:rPr>
      </w:pPr>
      <w:r>
        <w:rPr>
          <w:rFonts w:ascii="Arial" w:cs="Arial"/>
          <w:color w:val="231f20"/>
        </w:rPr>
      </w:r>
      <w:r>
        <w:rPr>
          <w:rFonts w:ascii="Arial" w:cs="Arial"/>
          <w:color w:val="231f20"/>
        </w:rPr>
      </w:r>
    </w:p>
    <w:p w14:paraId="53850F63" w14:textId="77777777">
      <w:pPr>
        <w:pBdr/>
        <w:spacing/>
        <w:ind/>
        <w:jc w:val="both"/>
        <w:rPr/>
      </w:pPr>
      <w:r>
        <w:rPr>
          <w:rFonts w:ascii="Arial" w:hAnsi="Arial" w:cs="Arial"/>
          <w:b/>
          <w:color w:val="231f20"/>
        </w:rPr>
        <w:t xml:space="preserve">16.1.</w:t>
      </w:r>
      <w:r>
        <w:rPr>
          <w:rFonts w:ascii="Arial" w:hAnsi="Arial" w:cs="Arial"/>
          <w:color w:val="231f20"/>
        </w:rPr>
        <w:t xml:space="preserve"> O Detentor obriga-se ao dever de proteção, confidencialidade e sigilo de toda informação, dados pessoais e/ou base de da</w:t>
      </w:r>
      <w:r>
        <w:rPr>
          <w:rFonts w:ascii="Arial" w:hAnsi="Arial" w:cs="Arial"/>
          <w:color w:val="231f20"/>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p>
    <w:p w14:paraId="32AC2F9E" w14:textId="77777777">
      <w:pPr>
        <w:pBdr/>
        <w:spacing/>
        <w:ind/>
        <w:jc w:val="both"/>
        <w:rPr/>
      </w:pPr>
      <w:r>
        <w:rPr>
          <w:rFonts w:ascii="Arial" w:cs="Arial"/>
          <w:color w:val="231f20"/>
        </w:rPr>
        <w:t xml:space="preserve"> </w:t>
      </w:r>
      <w:r/>
    </w:p>
    <w:p w14:paraId="12AB9465" w14:textId="77777777">
      <w:pPr>
        <w:pBdr/>
        <w:spacing/>
        <w:ind/>
        <w:jc w:val="both"/>
        <w:rPr/>
      </w:pPr>
      <w:r>
        <w:rPr>
          <w:rFonts w:ascii="Arial" w:hAnsi="Arial" w:cs="Arial"/>
          <w:b/>
          <w:color w:val="231f20"/>
        </w:rPr>
        <w:t xml:space="preserve">16.1.1.</w:t>
      </w:r>
      <w:r>
        <w:rPr>
          <w:rFonts w:ascii="Arial" w:hAnsi="Arial" w:cs="Arial"/>
          <w:color w:val="231f20"/>
        </w:rPr>
        <w:t xml:space="preserve"> O Detentor obriga-se a implementar medidas técnicas e administrativas suficientes visando a segurança, a proteção, a confidencialidade e o sigilo de toda </w:t>
      </w:r>
      <w:r>
        <w:rPr>
          <w:rFonts w:ascii="Arial" w:hAnsi="Arial" w:cs="Arial"/>
          <w:color w:val="231f20"/>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p>
    <w:p w14:paraId="5B68B1EB" w14:textId="77777777">
      <w:pPr>
        <w:pBdr/>
        <w:spacing/>
        <w:ind/>
        <w:jc w:val="both"/>
        <w:rPr/>
      </w:pPr>
      <w:r>
        <w:rPr>
          <w:rFonts w:ascii="Arial" w:cs="Arial"/>
          <w:color w:val="231f20"/>
        </w:rPr>
        <w:t xml:space="preserve"> </w:t>
      </w:r>
      <w:r/>
    </w:p>
    <w:p w14:paraId="5A7E6C4C" w14:textId="77777777">
      <w:pPr>
        <w:pBdr/>
        <w:spacing/>
        <w:ind/>
        <w:jc w:val="both"/>
        <w:rPr/>
      </w:pPr>
      <w:r>
        <w:rPr>
          <w:rFonts w:ascii="Arial" w:hAnsi="Arial" w:cs="Arial"/>
          <w:b/>
          <w:color w:val="231f20"/>
        </w:rPr>
        <w:t xml:space="preserve">16.1.2.</w:t>
      </w:r>
      <w:r>
        <w:rPr>
          <w:rFonts w:ascii="Arial" w:hAnsi="Arial" w:cs="Arial"/>
          <w:color w:val="231f20"/>
        </w:rPr>
        <w:t xml:space="preserve"> O Detentor deve as</w:t>
      </w:r>
      <w:r>
        <w:rPr>
          <w:rFonts w:ascii="Arial" w:hAnsi="Arial" w:cs="Arial"/>
          <w:color w:val="231f20"/>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p>
    <w:p w14:paraId="3F0D76FA" w14:textId="77777777">
      <w:pPr>
        <w:pBdr/>
        <w:spacing/>
        <w:ind/>
        <w:jc w:val="both"/>
        <w:rPr/>
      </w:pPr>
      <w:r>
        <w:rPr>
          <w:rFonts w:ascii="Arial" w:cs="Arial"/>
          <w:color w:val="231f20"/>
        </w:rPr>
        <w:t xml:space="preserve"> </w:t>
      </w:r>
      <w:r/>
    </w:p>
    <w:p w14:paraId="029A26B9" w14:textId="77777777">
      <w:pPr>
        <w:pBdr/>
        <w:spacing/>
        <w:ind/>
        <w:jc w:val="both"/>
        <w:rPr/>
      </w:pPr>
      <w:r>
        <w:rPr>
          <w:rFonts w:ascii="Arial" w:hAnsi="Arial" w:cs="Arial"/>
          <w:b/>
          <w:color w:val="231f20"/>
        </w:rPr>
        <w:t xml:space="preserve">16.1.3.</w:t>
      </w:r>
      <w:r>
        <w:rPr>
          <w:rFonts w:ascii="Arial" w:hAnsi="Arial" w:cs="Arial"/>
          <w:color w:val="231f20"/>
        </w:rPr>
        <w:t xml:space="preserve"> O Detentor não poderá utilizar-se de informação, dados pessoais e/ou base de dados a que tenha acesso, para fins distintos ao cumprimento do objeto deste instrumento contratual.</w:t>
      </w:r>
      <w:r/>
    </w:p>
    <w:p w14:paraId="6ECC28C6" w14:textId="77777777">
      <w:pPr>
        <w:pBdr/>
        <w:spacing/>
        <w:ind/>
        <w:jc w:val="both"/>
        <w:rPr/>
      </w:pPr>
      <w:r>
        <w:rPr>
          <w:rFonts w:ascii="Arial" w:cs="Arial"/>
          <w:color w:val="231f20"/>
        </w:rPr>
        <w:t xml:space="preserve"> </w:t>
      </w:r>
      <w:r/>
    </w:p>
    <w:p w14:paraId="29451C29" w14:textId="77777777">
      <w:pPr>
        <w:pBdr/>
        <w:spacing/>
        <w:ind/>
        <w:jc w:val="both"/>
        <w:rPr/>
      </w:pPr>
      <w:r>
        <w:rPr>
          <w:rFonts w:ascii="Arial" w:hAnsi="Arial" w:cs="Arial"/>
          <w:b/>
          <w:color w:val="231f20"/>
        </w:rPr>
        <w:t xml:space="preserve">16.1.4.</w:t>
      </w:r>
      <w:r>
        <w:rPr>
          <w:rFonts w:ascii="Arial" w:cs="Arial"/>
          <w:color w:val="231f20"/>
        </w:rPr>
        <w:tab/>
      </w:r>
      <w:r>
        <w:rPr>
          <w:rFonts w:ascii="Arial" w:hAnsi="Arial" w:cs="Arial"/>
          <w:color w:val="231f20"/>
        </w:rPr>
        <w:t xml:space="preserve">O Detentor não poderá disponibilizar e/ou transmitir a terceiros, sem prévia autorização escrita, informação, dados pessoais e/ou base de dados a que tenha acesso em razão do cumprimento do objeto deste instrumento contratual. </w:t>
      </w:r>
      <w:r/>
    </w:p>
    <w:p w14:paraId="5B560E69" w14:textId="77777777">
      <w:pPr>
        <w:pBdr/>
        <w:spacing/>
        <w:ind/>
        <w:jc w:val="both"/>
        <w:rPr>
          <w:rFonts w:ascii="Arial" w:cs="Arial"/>
          <w:color w:val="231f20"/>
        </w:rPr>
      </w:pPr>
      <w:r>
        <w:rPr>
          <w:rFonts w:ascii="Arial" w:cs="Arial"/>
          <w:color w:val="231f20"/>
        </w:rPr>
      </w:r>
      <w:r>
        <w:rPr>
          <w:rFonts w:ascii="Arial" w:cs="Arial"/>
          <w:color w:val="231f20"/>
        </w:rPr>
      </w:r>
    </w:p>
    <w:p w14:paraId="0F73B0DB" w14:textId="77777777">
      <w:pPr>
        <w:pBdr/>
        <w:spacing/>
        <w:ind/>
        <w:jc w:val="both"/>
        <w:rPr/>
      </w:pPr>
      <w:r>
        <w:rPr>
          <w:rFonts w:ascii="Arial" w:hAnsi="Arial" w:cs="Arial"/>
          <w:b/>
          <w:color w:val="231f20"/>
        </w:rPr>
        <w:t xml:space="preserve">16.1.4.1.</w:t>
      </w:r>
      <w:r>
        <w:rPr>
          <w:rFonts w:ascii="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r/>
    </w:p>
    <w:p w14:paraId="64548BD0" w14:textId="77777777">
      <w:pPr>
        <w:pBdr/>
        <w:spacing/>
        <w:ind/>
        <w:jc w:val="both"/>
        <w:rPr/>
      </w:pPr>
      <w:r>
        <w:rPr>
          <w:rFonts w:ascii="Arial" w:cs="Arial"/>
          <w:color w:val="231f20"/>
        </w:rPr>
        <w:t xml:space="preserve"> </w:t>
      </w:r>
      <w:r/>
    </w:p>
    <w:p w14:paraId="1A8484A1" w14:textId="77777777">
      <w:pPr>
        <w:pBdr/>
        <w:spacing/>
        <w:ind/>
        <w:jc w:val="both"/>
        <w:rPr/>
      </w:pPr>
      <w:r>
        <w:rPr>
          <w:rFonts w:ascii="Arial" w:hAnsi="Arial" w:cs="Arial"/>
          <w:b/>
          <w:color w:val="231f20"/>
        </w:rPr>
        <w:t xml:space="preserve">16.1.5.</w:t>
      </w:r>
      <w:r>
        <w:rPr>
          <w:rFonts w:ascii="Arial" w:hAnsi="Arial" w:cs="Arial"/>
          <w:color w:val="231f20"/>
        </w:rPr>
        <w:t xml:space="preserve"> O Detentor fica obrigado a devolver todos os documentos, registros e cópias que contenham informação, dados pessoais e/ou ba</w:t>
      </w:r>
      <w:r>
        <w:rPr>
          <w:rFonts w:ascii="Arial" w:hAnsi="Arial" w:cs="Arial"/>
          <w:color w:val="231f20"/>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p>
    <w:p w14:paraId="68E0D4B3" w14:textId="77777777">
      <w:pPr>
        <w:pBdr/>
        <w:spacing/>
        <w:ind/>
        <w:jc w:val="both"/>
        <w:rPr/>
      </w:pPr>
      <w:r>
        <w:rPr>
          <w:rFonts w:ascii="Arial" w:cs="Arial"/>
          <w:color w:val="231f20"/>
        </w:rPr>
        <w:t xml:space="preserve"> </w:t>
      </w:r>
      <w:r/>
    </w:p>
    <w:p w14:paraId="144CCA6B" w14:textId="77777777">
      <w:pPr>
        <w:pBdr/>
        <w:spacing/>
        <w:ind/>
        <w:jc w:val="both"/>
        <w:rPr/>
      </w:pPr>
      <w:r>
        <w:rPr>
          <w:rFonts w:ascii="Arial" w:hAnsi="Arial" w:cs="Arial"/>
          <w:b/>
          <w:color w:val="231f20"/>
        </w:rPr>
        <w:t xml:space="preserve">16.1.5.1.</w:t>
      </w:r>
      <w:r>
        <w:rPr>
          <w:rFonts w:ascii="Arial" w:hAnsi="Arial" w:cs="Arial"/>
          <w:color w:val="231f20"/>
        </w:rPr>
        <w:t xml:space="preserve"> Ao Detentor não será permitido deter cópias ou backups, informação, dados pessoais e/ou base de dados a que tenha tido acesso durante a execução do cumprimento do objeto deste instrumento contratual.</w:t>
      </w:r>
      <w:r/>
    </w:p>
    <w:p w14:paraId="60FE3A38" w14:textId="77777777">
      <w:pPr>
        <w:pBdr/>
        <w:spacing/>
        <w:ind/>
        <w:jc w:val="both"/>
        <w:rPr>
          <w:rFonts w:ascii="Arial" w:cs="Arial"/>
          <w:color w:val="231f20"/>
        </w:rPr>
      </w:pPr>
      <w:r>
        <w:rPr>
          <w:rFonts w:ascii="Arial" w:cs="Arial"/>
          <w:color w:val="231f20"/>
        </w:rPr>
      </w:r>
      <w:r>
        <w:rPr>
          <w:rFonts w:ascii="Arial" w:cs="Arial"/>
          <w:color w:val="231f20"/>
        </w:rPr>
      </w:r>
    </w:p>
    <w:p w14:paraId="140C5DE6" w14:textId="77777777">
      <w:pPr>
        <w:pBdr/>
        <w:spacing/>
        <w:ind/>
        <w:jc w:val="both"/>
        <w:rPr/>
      </w:pPr>
      <w:r>
        <w:rPr>
          <w:rFonts w:ascii="Arial" w:hAnsi="Arial" w:cs="Arial"/>
          <w:b/>
          <w:color w:val="231f20"/>
        </w:rPr>
        <w:t xml:space="preserve">16.1.5.1.1.</w:t>
      </w:r>
      <w:r>
        <w:rPr>
          <w:rFonts w:ascii="Arial" w:hAnsi="Arial" w:cs="Arial"/>
          <w:color w:val="231f20"/>
        </w:rPr>
        <w:t xml:space="preserve"> O Detentor deverá eliminar os dados pessoais a que tiver conhecimento ou posse em razão do cumprimento do objeto deste instrumento contratual tão logo não haja necessidade de realizar seu tratamento.</w:t>
      </w:r>
      <w:r/>
    </w:p>
    <w:p w14:paraId="397AF515" w14:textId="77777777">
      <w:pPr>
        <w:pBdr/>
        <w:spacing/>
        <w:ind/>
        <w:jc w:val="both"/>
        <w:rPr/>
      </w:pPr>
      <w:r>
        <w:rPr>
          <w:rFonts w:ascii="Arial" w:cs="Arial"/>
          <w:color w:val="231f20"/>
        </w:rPr>
        <w:t xml:space="preserve"> </w:t>
      </w:r>
      <w:r/>
    </w:p>
    <w:p w14:paraId="3D18E6C5" w14:textId="77777777">
      <w:pPr>
        <w:pBdr/>
        <w:spacing/>
        <w:ind/>
        <w:jc w:val="both"/>
        <w:rPr/>
      </w:pPr>
      <w:r>
        <w:rPr>
          <w:rFonts w:ascii="Arial" w:hAnsi="Arial" w:cs="Arial"/>
          <w:b/>
          <w:color w:val="231f20"/>
        </w:rPr>
        <w:t xml:space="preserve">16.1.6.</w:t>
      </w:r>
      <w:r>
        <w:rPr>
          <w:rFonts w:ascii="Arial" w:cs="Arial"/>
          <w:color w:val="231f20"/>
        </w:rPr>
        <w:tab/>
      </w:r>
      <w:r>
        <w:rPr>
          <w:rFonts w:ascii="Arial" w:hAnsi="Arial" w:cs="Arial"/>
          <w:color w:val="231f20"/>
        </w:rPr>
        <w:t xml:space="preserve">O Detentor deverá notificar, imediatamente, o Órgão ou Entidade Gerenciadora/Órgãos Participantes no caso de vazamento, perda parcial ou total de informação, dados pessoais e/ou base de dados.</w:t>
      </w:r>
      <w:r/>
    </w:p>
    <w:p w14:paraId="7F59D99F" w14:textId="77777777">
      <w:pPr>
        <w:pBdr/>
        <w:spacing/>
        <w:ind/>
        <w:jc w:val="both"/>
        <w:rPr/>
      </w:pPr>
      <w:r>
        <w:rPr>
          <w:rFonts w:ascii="Arial" w:cs="Arial"/>
          <w:color w:val="231f20"/>
        </w:rPr>
        <w:t xml:space="preserve"> </w:t>
      </w:r>
      <w:r/>
    </w:p>
    <w:p w14:paraId="34FEA299" w14:textId="77777777">
      <w:pPr>
        <w:pBdr/>
        <w:spacing/>
        <w:ind/>
        <w:jc w:val="both"/>
        <w:rPr/>
      </w:pPr>
      <w:r>
        <w:rPr>
          <w:rFonts w:ascii="Arial" w:hAnsi="Arial" w:cs="Arial"/>
          <w:b/>
          <w:color w:val="231f20"/>
        </w:rPr>
        <w:t xml:space="preserve">16.1.6.1 </w:t>
      </w:r>
      <w:r>
        <w:rPr>
          <w:rFonts w:ascii="Arial" w:hAnsi="Arial" w:cs="Arial"/>
          <w:color w:val="231f20"/>
        </w:rPr>
        <w:t xml:space="preserve">A notificação não eximirá o Detentor das obrigações e/ou sanções que possam incidir em razão da perda de informação, dados pessoais e/ou base de dados.</w:t>
      </w:r>
      <w:r/>
    </w:p>
    <w:p w14:paraId="27B0888C" w14:textId="77777777">
      <w:pPr>
        <w:pBdr/>
        <w:spacing/>
        <w:ind/>
        <w:jc w:val="both"/>
        <w:rPr/>
      </w:pPr>
      <w:r>
        <w:rPr>
          <w:rFonts w:ascii="Arial" w:cs="Arial"/>
          <w:color w:val="231f20"/>
        </w:rPr>
        <w:t xml:space="preserve"> </w:t>
      </w:r>
      <w:r/>
    </w:p>
    <w:p w14:paraId="3A7328D8" w14:textId="77777777">
      <w:pPr>
        <w:pBdr/>
        <w:spacing/>
        <w:ind/>
        <w:jc w:val="both"/>
        <w:rPr/>
      </w:pPr>
      <w:r>
        <w:rPr>
          <w:rFonts w:ascii="Arial" w:hAnsi="Arial" w:cs="Arial"/>
          <w:b/>
          <w:color w:val="231f20"/>
        </w:rPr>
        <w:t xml:space="preserve">16.1.6.2.</w:t>
      </w:r>
      <w:r>
        <w:rPr>
          <w:rFonts w:ascii="Arial" w:hAnsi="Arial" w:cs="Arial"/>
          <w:color w:val="231f20"/>
        </w:rPr>
        <w:t xml:space="preserve"> O Detentor que descumprir nos termos da Lei nº 13.709/2018 suas alterações e regulamentações posteriores, durante ou após a execução do objeto descrito no presente instrumento contratual fica obrigado a </w:t>
      </w:r>
      <w:r>
        <w:rPr>
          <w:rFonts w:ascii="Arial" w:hAnsi="Arial" w:cs="Arial"/>
          <w:color w:val="231f20"/>
        </w:rPr>
        <w:t xml:space="preserve">assumir total responsabilidade e ao ressarcimento por todo e qualquer dano e/ou prejuízo sofrido, incluindo sanções aplicadas pela autoridade competente.</w:t>
      </w:r>
      <w:r/>
    </w:p>
    <w:p w14:paraId="6EF2B2F8" w14:textId="77777777">
      <w:pPr>
        <w:pBdr/>
        <w:spacing/>
        <w:ind/>
        <w:jc w:val="both"/>
        <w:rPr/>
      </w:pPr>
      <w:r>
        <w:rPr>
          <w:rFonts w:ascii="Arial" w:cs="Arial"/>
          <w:color w:val="231f20"/>
        </w:rPr>
        <w:t xml:space="preserve"> </w:t>
      </w:r>
      <w:r/>
    </w:p>
    <w:p w14:paraId="6FC8BF63" w14:textId="77777777">
      <w:pPr>
        <w:pBdr/>
        <w:spacing/>
        <w:ind/>
        <w:jc w:val="both"/>
        <w:rPr/>
      </w:pPr>
      <w:r>
        <w:rPr>
          <w:rFonts w:ascii="Arial" w:hAnsi="Arial" w:cs="Arial"/>
          <w:b/>
          <w:color w:val="231f20"/>
        </w:rPr>
        <w:t xml:space="preserve">16.1.7.</w:t>
      </w:r>
      <w:r>
        <w:rPr>
          <w:rFonts w:ascii="Arial" w:hAnsi="Arial" w:cs="Arial"/>
          <w:color w:val="231f20"/>
        </w:rPr>
        <w:t xml:space="preserve"> O Detentor fica obrigado a manter preposto para comunicação com o Órgão ou Entidade Gerenciadora/ para os assuntos pertinentes à Lei nº 13.709/2018 suas alterações e regulamentações posteriores.</w:t>
      </w:r>
      <w:r/>
    </w:p>
    <w:p w14:paraId="03633D5E" w14:textId="77777777">
      <w:pPr>
        <w:pBdr/>
        <w:spacing/>
        <w:ind/>
        <w:jc w:val="both"/>
        <w:rPr/>
      </w:pPr>
      <w:r>
        <w:rPr>
          <w:rFonts w:ascii="Arial" w:cs="Arial"/>
          <w:color w:val="231f20"/>
        </w:rPr>
        <w:t xml:space="preserve"> </w:t>
      </w:r>
      <w:r/>
    </w:p>
    <w:p w14:paraId="1135F121" w14:textId="77777777">
      <w:pPr>
        <w:pBdr/>
        <w:spacing/>
        <w:ind/>
        <w:jc w:val="both"/>
        <w:rPr/>
      </w:pPr>
      <w:r>
        <w:rPr>
          <w:rFonts w:ascii="Arial" w:hAnsi="Arial" w:cs="Arial"/>
          <w:b/>
          <w:color w:val="231f20"/>
        </w:rPr>
        <w:t xml:space="preserve">16.1.8.</w:t>
      </w:r>
      <w:r>
        <w:rPr>
          <w:rFonts w:ascii="Arial" w:hAnsi="Arial" w:cs="Arial"/>
          <w:color w:val="231f20"/>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cs="Arial"/>
          <w:color w:val="231f20"/>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p>
    <w:p w14:paraId="5D703862" w14:textId="77777777">
      <w:pPr>
        <w:pBdr/>
        <w:spacing/>
        <w:ind/>
        <w:jc w:val="both"/>
        <w:rPr>
          <w:rFonts w:ascii="Arial" w:cs="Arial"/>
          <w:color w:val="231f20"/>
        </w:rPr>
      </w:pPr>
      <w:r>
        <w:rPr>
          <w:rFonts w:ascii="Arial" w:cs="Arial"/>
          <w:color w:val="231f20"/>
        </w:rPr>
      </w:r>
      <w:r>
        <w:rPr>
          <w:rFonts w:ascii="Arial" w:cs="Arial"/>
          <w:color w:val="231f20"/>
        </w:rPr>
      </w:r>
    </w:p>
    <w:p w14:paraId="352FE6B0" w14:textId="77777777">
      <w:pPr>
        <w:pBdr/>
        <w:spacing/>
        <w:ind/>
        <w:jc w:val="both"/>
        <w:rPr/>
      </w:pPr>
      <w:r>
        <w:rPr>
          <w:rFonts w:ascii="Arial" w:hAnsi="Arial" w:cs="Arial"/>
          <w:b/>
          <w:color w:val="231f20"/>
        </w:rPr>
        <w:t xml:space="preserve">16.1.9</w:t>
      </w:r>
      <w:r>
        <w:rPr>
          <w:rFonts w:ascii="Arial" w:hAnsi="Arial" w:cs="Arial"/>
          <w:color w:val="231f20"/>
        </w:rPr>
        <w:t xml:space="preserve">. O não cumprimento de quaisquer das obrigações descritas nesta cláusula sujeitará o Detentor a processo administrativo para apuração de responsabilidade e, consequente, sanção, sem prejuízo de outras cominações cíveis e penais.</w:t>
      </w:r>
      <w:r/>
    </w:p>
    <w:p w14:paraId="09B1B4AC" w14:textId="77777777">
      <w:pPr>
        <w:pBdr/>
        <w:spacing/>
        <w:ind/>
        <w:jc w:val="both"/>
        <w:rPr>
          <w:rFonts w:ascii="Arial" w:cs="Arial"/>
          <w:b/>
        </w:rPr>
      </w:pPr>
      <w:r>
        <w:rPr>
          <w:rFonts w:ascii="Arial" w:cs="Arial"/>
          <w:b/>
        </w:rPr>
      </w:r>
      <w:r>
        <w:rPr>
          <w:rFonts w:ascii="Arial" w:cs="Arial"/>
          <w:b/>
        </w:rPr>
      </w:r>
    </w:p>
    <w:p w14:paraId="016CEFF2" w14:textId="77777777">
      <w:pPr>
        <w:pBdr/>
        <w:spacing/>
        <w:ind/>
        <w:jc w:val="both"/>
        <w:rPr/>
      </w:pPr>
      <w:r>
        <w:rPr>
          <w:rFonts w:ascii="Arial" w:hAnsi="Arial" w:cs="Arial"/>
          <w:b/>
        </w:rPr>
        <w:t xml:space="preserve">CLÁUSULA DÉCIMA SÉTIMA - DAS SANÇÕES ADMINISTRATIVAS:</w:t>
      </w:r>
      <w:r/>
    </w:p>
    <w:p w14:paraId="4B3DD900" w14:textId="77777777">
      <w:pPr>
        <w:pBdr/>
        <w:spacing/>
        <w:ind/>
        <w:jc w:val="both"/>
        <w:rPr>
          <w:rFonts w:ascii="Arial" w:cs="Arial"/>
          <w:color w:val="231f20"/>
        </w:rPr>
      </w:pPr>
      <w:r>
        <w:rPr>
          <w:rFonts w:ascii="Arial" w:cs="Arial"/>
          <w:color w:val="231f20"/>
        </w:rPr>
      </w:r>
      <w:r>
        <w:rPr>
          <w:rFonts w:ascii="Arial" w:cs="Arial"/>
          <w:color w:val="231f20"/>
        </w:rPr>
      </w:r>
    </w:p>
    <w:p w14:paraId="1EBAB6C9" w14:textId="77777777">
      <w:pPr>
        <w:pBdr/>
        <w:spacing/>
        <w:ind/>
        <w:jc w:val="both"/>
        <w:rPr/>
      </w:pPr>
      <w:r>
        <w:rPr>
          <w:rFonts w:ascii="Arial" w:hAnsi="Arial" w:cs="Arial"/>
          <w:b/>
          <w:color w:val="231f20"/>
        </w:rPr>
        <w:t xml:space="preserve">17.1.</w:t>
      </w:r>
      <w:r>
        <w:rPr>
          <w:rFonts w:ascii="Arial" w:hAnsi="Arial" w:cs="Arial"/>
          <w:color w:val="231f20"/>
        </w:rPr>
        <w:t xml:space="preserve"> O descumprimento das obrigações assumidas caracterizará a inadimplência do Detentor, sujeitando-o às seguintes penalidades, na forma do Decreto nº </w:t>
      </w:r>
      <w:bookmarkStart w:id="93" w:name="_Hlk139891007"/>
      <w:r>
        <w:rPr>
          <w:rFonts w:ascii="Arial" w:hAnsi="Arial" w:cs="Arial"/>
          <w:color w:val="231f20"/>
        </w:rPr>
        <w:t xml:space="preserve">11.685/2023:</w:t>
      </w:r>
      <w:bookmarkEnd w:id="93"/>
      <w:r/>
      <w:r/>
    </w:p>
    <w:p w14:paraId="7C02FD88" w14:textId="77777777">
      <w:pPr>
        <w:pBdr/>
        <w:spacing/>
        <w:ind/>
        <w:jc w:val="both"/>
        <w:rPr>
          <w:rFonts w:ascii="Arial" w:cs="Arial"/>
          <w:color w:val="231f20"/>
        </w:rPr>
      </w:pPr>
      <w:r>
        <w:rPr>
          <w:rFonts w:ascii="Arial" w:cs="Arial"/>
          <w:color w:val="231f20"/>
        </w:rPr>
      </w:r>
      <w:r>
        <w:rPr>
          <w:rFonts w:ascii="Arial" w:cs="Arial"/>
          <w:color w:val="231f20"/>
        </w:rPr>
      </w:r>
    </w:p>
    <w:p w14:paraId="19C5334F" w14:textId="77777777">
      <w:pPr>
        <w:pBdr/>
        <w:spacing/>
        <w:ind/>
        <w:jc w:val="both"/>
        <w:rPr/>
      </w:pPr>
      <w:r>
        <w:rPr>
          <w:rFonts w:ascii="Arial" w:hAnsi="Arial" w:cs="Arial"/>
          <w:b/>
          <w:color w:val="231f20"/>
        </w:rPr>
        <w:t xml:space="preserve">17.1.1.</w:t>
      </w:r>
      <w:r>
        <w:rPr>
          <w:rFonts w:ascii="Arial" w:hAnsi="Arial" w:cs="Arial"/>
          <w:color w:val="231f20"/>
        </w:rPr>
        <w:t xml:space="preserve"> Advertência;</w:t>
      </w:r>
      <w:r/>
    </w:p>
    <w:p w14:paraId="3D4E1C91" w14:textId="77777777">
      <w:pPr>
        <w:pBdr/>
        <w:spacing/>
        <w:ind/>
        <w:jc w:val="both"/>
        <w:rPr>
          <w:rFonts w:ascii="Arial" w:cs="Arial"/>
          <w:color w:val="231f20"/>
        </w:rPr>
      </w:pPr>
      <w:r>
        <w:rPr>
          <w:rFonts w:ascii="Arial" w:cs="Arial"/>
          <w:color w:val="231f20"/>
        </w:rPr>
      </w:r>
      <w:r>
        <w:rPr>
          <w:rFonts w:ascii="Arial" w:cs="Arial"/>
          <w:color w:val="231f20"/>
        </w:rPr>
      </w:r>
    </w:p>
    <w:p w14:paraId="78AAA95C" w14:textId="77777777">
      <w:pPr>
        <w:pBdr/>
        <w:spacing/>
        <w:ind/>
        <w:jc w:val="both"/>
        <w:rPr/>
      </w:pPr>
      <w:r>
        <w:rPr>
          <w:rFonts w:ascii="Arial" w:hAnsi="Arial" w:cs="Arial"/>
          <w:b/>
          <w:color w:val="231f20"/>
        </w:rPr>
        <w:t xml:space="preserve">17.1.2.</w:t>
      </w:r>
      <w:r>
        <w:rPr>
          <w:rFonts w:ascii="Arial" w:hAnsi="Arial" w:cs="Arial"/>
          <w:color w:val="231f20"/>
        </w:rPr>
        <w:t xml:space="preserve"> Multas nos seguintes percentuais:</w:t>
      </w:r>
      <w:r/>
    </w:p>
    <w:p w14:paraId="46302196" w14:textId="77777777">
      <w:pPr>
        <w:pBdr/>
        <w:spacing/>
        <w:ind/>
        <w:jc w:val="both"/>
        <w:rPr>
          <w:rFonts w:ascii="Arial" w:cs="Arial"/>
          <w:color w:val="231f20"/>
        </w:rPr>
      </w:pPr>
      <w:r>
        <w:rPr>
          <w:rFonts w:ascii="Arial" w:cs="Arial"/>
          <w:color w:val="231f20"/>
        </w:rPr>
      </w:r>
      <w:r>
        <w:rPr>
          <w:rFonts w:ascii="Arial" w:cs="Arial"/>
          <w:color w:val="231f20"/>
        </w:rPr>
      </w:r>
    </w:p>
    <w:p w14:paraId="3F855860" w14:textId="77777777">
      <w:pPr>
        <w:pBdr/>
        <w:spacing/>
        <w:ind/>
        <w:jc w:val="both"/>
        <w:rPr/>
      </w:pPr>
      <w:r>
        <w:rPr>
          <w:rFonts w:ascii="Arial" w:hAnsi="Arial" w:cs="Arial"/>
          <w:b/>
          <w:color w:val="231f20"/>
        </w:rPr>
        <w:t xml:space="preserve">a)</w:t>
      </w:r>
      <w:r>
        <w:rPr>
          <w:rFonts w:ascii="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p>
    <w:p w14:paraId="799C2F64" w14:textId="77777777">
      <w:pPr>
        <w:pBdr/>
        <w:spacing/>
        <w:ind/>
        <w:jc w:val="both"/>
        <w:rPr>
          <w:rFonts w:ascii="Arial" w:cs="Arial"/>
          <w:color w:val="231f20"/>
        </w:rPr>
      </w:pPr>
      <w:r>
        <w:rPr>
          <w:rFonts w:ascii="Arial" w:cs="Arial"/>
          <w:color w:val="231f20"/>
        </w:rPr>
      </w:r>
      <w:r>
        <w:rPr>
          <w:rFonts w:ascii="Arial" w:cs="Arial"/>
          <w:color w:val="231f20"/>
        </w:rPr>
      </w:r>
    </w:p>
    <w:p w14:paraId="77D30B55" w14:textId="77777777">
      <w:pPr>
        <w:pBdr/>
        <w:spacing/>
        <w:ind/>
        <w:jc w:val="both"/>
        <w:rPr/>
      </w:pPr>
      <w:r>
        <w:rPr>
          <w:rFonts w:ascii="Arial" w:hAnsi="Arial" w:cs="Arial"/>
          <w:b/>
          <w:color w:val="231f20"/>
        </w:rPr>
        <w:t xml:space="preserve">b)</w:t>
      </w:r>
      <w:r>
        <w:rPr>
          <w:rFonts w:ascii="Arial" w:hAnsi="Arial" w:cs="Arial"/>
          <w:color w:val="231f20"/>
        </w:rPr>
        <w:t xml:space="preserve"> multa compensatória de até 3% (três por cento) sobre o valor de referência ao contratado que retardar o procedimento de contratação, descumprir preceito normativo ou obrigações assumidas.</w:t>
      </w:r>
      <w:r/>
    </w:p>
    <w:p w14:paraId="7666AD64" w14:textId="77777777">
      <w:pPr>
        <w:pBdr/>
        <w:spacing/>
        <w:ind/>
        <w:jc w:val="both"/>
        <w:rPr>
          <w:rFonts w:ascii="Arial" w:cs="Arial"/>
          <w:color w:val="231f20"/>
        </w:rPr>
      </w:pPr>
      <w:r>
        <w:rPr>
          <w:rFonts w:ascii="Arial" w:cs="Arial"/>
          <w:color w:val="231f20"/>
        </w:rPr>
      </w:r>
      <w:r>
        <w:rPr>
          <w:rFonts w:ascii="Arial" w:cs="Arial"/>
          <w:color w:val="231f20"/>
        </w:rPr>
      </w:r>
    </w:p>
    <w:p w14:paraId="5C16DCB9" w14:textId="77777777">
      <w:pPr>
        <w:pBdr/>
        <w:spacing/>
        <w:ind/>
        <w:jc w:val="both"/>
        <w:rPr/>
      </w:pPr>
      <w:r>
        <w:rPr>
          <w:rFonts w:ascii="Arial" w:hAnsi="Arial" w:cs="Arial"/>
          <w:b/>
          <w:color w:val="231f20"/>
        </w:rPr>
        <w:t xml:space="preserve">c)</w:t>
      </w:r>
      <w:r>
        <w:rPr>
          <w:rFonts w:ascii="Arial" w:hAnsi="Arial" w:cs="Arial"/>
          <w:color w:val="231f20"/>
        </w:rPr>
        <w:t xml:space="preserve"> multa compensatória de até 5% (cinco por</w:t>
      </w:r>
      <w:r>
        <w:rPr>
          <w:rFonts w:ascii="Arial" w:hAnsi="Arial" w:cs="Arial"/>
          <w:color w:val="231f20"/>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p>
    <w:p w14:paraId="741E87BC" w14:textId="77777777">
      <w:pPr>
        <w:pBdr/>
        <w:spacing/>
        <w:ind/>
        <w:jc w:val="both"/>
        <w:rPr>
          <w:rFonts w:ascii="Arial" w:cs="Arial"/>
          <w:color w:val="231f20"/>
        </w:rPr>
      </w:pPr>
      <w:r>
        <w:rPr>
          <w:rFonts w:ascii="Arial" w:cs="Arial"/>
          <w:color w:val="231f20"/>
        </w:rPr>
      </w:r>
      <w:r>
        <w:rPr>
          <w:rFonts w:ascii="Arial" w:cs="Arial"/>
          <w:color w:val="231f20"/>
        </w:rPr>
      </w:r>
    </w:p>
    <w:p w14:paraId="524A3207" w14:textId="77777777">
      <w:pPr>
        <w:pBdr/>
        <w:spacing/>
        <w:ind/>
        <w:jc w:val="both"/>
        <w:rPr/>
      </w:pPr>
      <w:r>
        <w:rPr>
          <w:rFonts w:ascii="Arial" w:hAnsi="Arial" w:cs="Arial"/>
          <w:b/>
          <w:color w:val="231f20"/>
        </w:rPr>
        <w:t xml:space="preserve">d)</w:t>
      </w:r>
      <w:r>
        <w:rPr>
          <w:rFonts w:ascii="Arial" w:hAnsi="Arial" w:cs="Arial"/>
          <w:color w:val="231f20"/>
        </w:rPr>
        <w:t xml:space="preserve"> multa compensatória de até 30% (trinta por cento) do valor do contrato em razão do cometimento das infrações administrativas previstas no Decreto Municipal nº 11.685/2023</w:t>
      </w:r>
      <w:r/>
    </w:p>
    <w:p w14:paraId="036E24C4" w14:textId="77777777">
      <w:pPr>
        <w:pBdr/>
        <w:spacing/>
        <w:ind/>
        <w:jc w:val="both"/>
        <w:rPr>
          <w:rFonts w:ascii="Arial" w:cs="Arial"/>
          <w:color w:val="231f20"/>
        </w:rPr>
      </w:pPr>
      <w:r>
        <w:rPr>
          <w:rFonts w:ascii="Arial" w:cs="Arial"/>
          <w:color w:val="231f20"/>
        </w:rPr>
      </w:r>
      <w:r>
        <w:rPr>
          <w:rFonts w:ascii="Arial" w:cs="Arial"/>
          <w:color w:val="231f20"/>
        </w:rPr>
      </w:r>
    </w:p>
    <w:p w14:paraId="33852E19" w14:textId="77777777">
      <w:pPr>
        <w:pBdr/>
        <w:spacing/>
        <w:ind/>
        <w:jc w:val="both"/>
        <w:rPr/>
      </w:pPr>
      <w:r>
        <w:rPr>
          <w:rFonts w:ascii="Arial" w:hAnsi="Arial" w:cs="Arial"/>
          <w:b/>
          <w:color w:val="231f20"/>
        </w:rPr>
        <w:t xml:space="preserve">17.1.3.</w:t>
      </w:r>
      <w:r>
        <w:rPr>
          <w:rFonts w:ascii="Arial" w:hAnsi="Arial" w:cs="Arial"/>
          <w:color w:val="231f20"/>
        </w:rPr>
        <w:t xml:space="preserve"> Impedimento de licitar e contratar;</w:t>
      </w:r>
      <w:r/>
    </w:p>
    <w:p w14:paraId="17464615" w14:textId="77777777">
      <w:pPr>
        <w:pBdr/>
        <w:spacing/>
        <w:ind/>
        <w:jc w:val="both"/>
        <w:rPr>
          <w:rFonts w:ascii="Arial" w:cs="Arial"/>
          <w:color w:val="231f20"/>
        </w:rPr>
      </w:pPr>
      <w:r>
        <w:rPr>
          <w:rFonts w:ascii="Arial" w:cs="Arial"/>
          <w:color w:val="231f20"/>
        </w:rPr>
      </w:r>
      <w:r>
        <w:rPr>
          <w:rFonts w:ascii="Arial" w:cs="Arial"/>
          <w:color w:val="231f20"/>
        </w:rPr>
      </w:r>
    </w:p>
    <w:p w14:paraId="7DFB54AA" w14:textId="77777777">
      <w:pPr>
        <w:pBdr/>
        <w:spacing/>
        <w:ind/>
        <w:jc w:val="both"/>
        <w:rPr/>
      </w:pPr>
      <w:r>
        <w:rPr>
          <w:rFonts w:ascii="Arial" w:hAnsi="Arial" w:cs="Arial"/>
          <w:b/>
          <w:color w:val="231f20"/>
        </w:rPr>
        <w:t xml:space="preserve">17.1.4.</w:t>
      </w:r>
      <w:r>
        <w:rPr>
          <w:rFonts w:ascii="Arial" w:hAnsi="Arial" w:cs="Arial"/>
          <w:color w:val="231f20"/>
        </w:rPr>
        <w:t xml:space="preserve"> Declaração de inidoneidade para licitar e contratar.</w:t>
      </w:r>
      <w:r/>
    </w:p>
    <w:p w14:paraId="2DEBF113" w14:textId="77777777">
      <w:pPr>
        <w:pBdr/>
        <w:spacing/>
        <w:ind/>
        <w:jc w:val="both"/>
        <w:rPr>
          <w:rFonts w:ascii="Arial" w:cs="Arial"/>
          <w:color w:val="231f20"/>
        </w:rPr>
      </w:pPr>
      <w:r>
        <w:rPr>
          <w:rFonts w:ascii="Arial" w:cs="Arial"/>
          <w:color w:val="231f20"/>
        </w:rPr>
      </w:r>
      <w:r>
        <w:rPr>
          <w:rFonts w:ascii="Arial" w:cs="Arial"/>
          <w:color w:val="231f20"/>
        </w:rPr>
      </w:r>
    </w:p>
    <w:p w14:paraId="4F8C2E5B" w14:textId="77777777">
      <w:pPr>
        <w:pBdr/>
        <w:spacing/>
        <w:ind/>
        <w:jc w:val="both"/>
        <w:rPr/>
      </w:pPr>
      <w:r>
        <w:rPr>
          <w:rFonts w:ascii="Arial" w:hAnsi="Arial" w:cs="Arial"/>
          <w:b/>
          <w:color w:val="231f20"/>
        </w:rPr>
        <w:t xml:space="preserve">17.2.</w:t>
      </w:r>
      <w:r>
        <w:rPr>
          <w:rFonts w:ascii="Arial" w:hAnsi="Arial" w:cs="Arial"/>
          <w:color w:val="231f20"/>
        </w:rPr>
        <w:t xml:space="preserve"> A multa moratória pode ser aplicada cumulativamente com as demais multas previstas.</w:t>
      </w:r>
      <w:r/>
    </w:p>
    <w:p w14:paraId="4FDB4BB3" w14:textId="77777777">
      <w:pPr>
        <w:pBdr/>
        <w:spacing/>
        <w:ind/>
        <w:jc w:val="both"/>
        <w:rPr>
          <w:rFonts w:ascii="Arial" w:cs="Arial"/>
          <w:color w:val="231f20"/>
        </w:rPr>
      </w:pPr>
      <w:r>
        <w:rPr>
          <w:rFonts w:ascii="Arial" w:cs="Arial"/>
          <w:color w:val="231f20"/>
        </w:rPr>
      </w:r>
      <w:r>
        <w:rPr>
          <w:rFonts w:ascii="Arial" w:cs="Arial"/>
          <w:color w:val="231f20"/>
        </w:rPr>
      </w:r>
    </w:p>
    <w:p w14:paraId="2AF3E86C" w14:textId="77777777">
      <w:pPr>
        <w:pBdr/>
        <w:spacing/>
        <w:ind/>
        <w:jc w:val="both"/>
        <w:rPr/>
      </w:pPr>
      <w:r>
        <w:rPr>
          <w:rFonts w:ascii="Arial" w:hAnsi="Arial" w:cs="Arial"/>
          <w:b/>
          <w:color w:val="231f20"/>
        </w:rPr>
        <w:t xml:space="preserve">17.3.</w:t>
      </w:r>
      <w:r>
        <w:rPr>
          <w:rFonts w:ascii="Arial" w:hAnsi="Arial" w:cs="Arial"/>
          <w:color w:val="231f20"/>
        </w:rPr>
        <w:t xml:space="preserve"> As penalidades de advertência e multa serão aplicadas pelo Diretor competente.</w:t>
      </w:r>
      <w:r/>
    </w:p>
    <w:p w14:paraId="6A283B44" w14:textId="77777777">
      <w:pPr>
        <w:pBdr/>
        <w:spacing/>
        <w:ind/>
        <w:jc w:val="both"/>
        <w:rPr>
          <w:rFonts w:ascii="Arial" w:cs="Arial"/>
          <w:color w:val="231f20"/>
        </w:rPr>
      </w:pPr>
      <w:r>
        <w:rPr>
          <w:rFonts w:ascii="Arial" w:cs="Arial"/>
          <w:color w:val="231f20"/>
        </w:rPr>
      </w:r>
      <w:r>
        <w:rPr>
          <w:rFonts w:ascii="Arial" w:cs="Arial"/>
          <w:color w:val="231f20"/>
        </w:rPr>
      </w:r>
    </w:p>
    <w:p w14:paraId="24769D36" w14:textId="77777777">
      <w:pPr>
        <w:pBdr/>
        <w:spacing/>
        <w:ind/>
        <w:jc w:val="both"/>
        <w:rPr/>
      </w:pPr>
      <w:r>
        <w:rPr>
          <w:rFonts w:ascii="Arial" w:hAnsi="Arial" w:cs="Arial"/>
          <w:b/>
          <w:color w:val="231f20"/>
        </w:rPr>
        <w:t xml:space="preserve">17.4.</w:t>
      </w:r>
      <w:r>
        <w:rPr>
          <w:rFonts w:ascii="Arial" w:hAnsi="Arial" w:cs="Arial"/>
          <w:color w:val="231f20"/>
        </w:rPr>
        <w:t xml:space="preserve"> A penalidade de impedimento de licitar e contratar será aplicada pelo Secretário Municipal ou ocupante de cargo equivalente, nos demais órgãos e entidades da administração direta ou indireta.</w:t>
      </w:r>
      <w:r/>
    </w:p>
    <w:p w14:paraId="7579DD9B" w14:textId="77777777">
      <w:pPr>
        <w:pBdr/>
        <w:spacing/>
        <w:ind/>
        <w:jc w:val="both"/>
        <w:rPr>
          <w:rFonts w:ascii="Arial" w:cs="Arial"/>
          <w:color w:val="231f20"/>
        </w:rPr>
      </w:pPr>
      <w:r>
        <w:rPr>
          <w:rFonts w:ascii="Arial" w:cs="Arial"/>
          <w:color w:val="231f20"/>
        </w:rPr>
      </w:r>
      <w:r>
        <w:rPr>
          <w:rFonts w:ascii="Arial" w:cs="Arial"/>
          <w:color w:val="231f20"/>
        </w:rPr>
      </w:r>
    </w:p>
    <w:p w14:paraId="5F377DF7" w14:textId="77777777">
      <w:pPr>
        <w:pBdr/>
        <w:spacing/>
        <w:ind/>
        <w:jc w:val="both"/>
        <w:rPr/>
      </w:pPr>
      <w:r>
        <w:rPr>
          <w:rFonts w:ascii="Arial" w:hAnsi="Arial" w:cs="Arial"/>
          <w:b/>
          <w:color w:val="231f20"/>
        </w:rPr>
        <w:t xml:space="preserve">17.5.</w:t>
      </w:r>
      <w:r>
        <w:rPr>
          <w:rFonts w:ascii="Arial" w:hAnsi="Arial" w:cs="Arial"/>
          <w:color w:val="231f20"/>
        </w:rPr>
        <w:t xml:space="preserve"> A penalidade de declaração de inidoneidade será aplicada pelo Secretário ou autoridade máxima da entidade, nos demais órgãos e entidades da administração direta ou indireta.</w:t>
      </w:r>
      <w:r/>
    </w:p>
    <w:p w14:paraId="6EE853E7" w14:textId="77777777">
      <w:pPr>
        <w:pBdr/>
        <w:spacing/>
        <w:ind/>
        <w:jc w:val="both"/>
        <w:rPr>
          <w:rFonts w:ascii="Arial" w:cs="Arial"/>
          <w:color w:val="231f20"/>
        </w:rPr>
      </w:pPr>
      <w:r>
        <w:rPr>
          <w:rFonts w:ascii="Arial" w:cs="Arial"/>
          <w:color w:val="231f20"/>
        </w:rPr>
      </w:r>
      <w:r>
        <w:rPr>
          <w:rFonts w:ascii="Arial" w:cs="Arial"/>
          <w:color w:val="231f20"/>
        </w:rPr>
      </w:r>
    </w:p>
    <w:p w14:paraId="61E7C9B0" w14:textId="77777777">
      <w:pPr>
        <w:pBdr/>
        <w:spacing/>
        <w:ind/>
        <w:jc w:val="both"/>
        <w:rPr/>
      </w:pPr>
      <w:r>
        <w:rPr>
          <w:rFonts w:ascii="Arial" w:hAnsi="Arial" w:cs="Arial"/>
          <w:b/>
          <w:color w:val="231f20"/>
        </w:rPr>
        <w:t xml:space="preserve">17.6.</w:t>
      </w:r>
      <w:r>
        <w:rPr>
          <w:rFonts w:ascii="Arial" w:hAnsi="Arial" w:cs="Arial"/>
          <w:color w:val="231f20"/>
        </w:rPr>
        <w:t xml:space="preserve"> A notificada poderá apresentar defesa escrita, no prazo de 15 (quinze) dias úteis, cujo termo inicial será:</w:t>
      </w:r>
      <w:r/>
    </w:p>
    <w:p w14:paraId="453E708B" w14:textId="77777777">
      <w:pPr>
        <w:pBdr/>
        <w:spacing/>
        <w:ind/>
        <w:jc w:val="both"/>
        <w:rPr/>
      </w:pPr>
      <w:r>
        <w:rPr>
          <w:rFonts w:ascii="Arial" w:hAnsi="Arial" w:cs="Arial"/>
          <w:b/>
          <w:color w:val="231f20"/>
        </w:rPr>
        <w:t xml:space="preserve">a)</w:t>
      </w:r>
      <w:r>
        <w:rPr>
          <w:rFonts w:ascii="Arial" w:hAnsi="Arial" w:cs="Arial"/>
          <w:color w:val="231f20"/>
        </w:rPr>
        <w:t xml:space="preserve"> o primeiro dia após a confirmação do recebimento da notificação por e-mail;</w:t>
      </w:r>
      <w:r/>
    </w:p>
    <w:p w14:paraId="07706994" w14:textId="77777777">
      <w:pPr>
        <w:pBdr/>
        <w:spacing/>
        <w:ind/>
        <w:jc w:val="both"/>
        <w:rPr>
          <w:rFonts w:ascii="Arial" w:cs="Arial"/>
          <w:color w:val="231f20"/>
        </w:rPr>
      </w:pPr>
      <w:r>
        <w:rPr>
          <w:rFonts w:ascii="Arial" w:cs="Arial"/>
          <w:color w:val="231f20"/>
        </w:rPr>
      </w:r>
      <w:r>
        <w:rPr>
          <w:rFonts w:ascii="Arial" w:cs="Arial"/>
          <w:color w:val="231f20"/>
        </w:rPr>
      </w:r>
    </w:p>
    <w:p w14:paraId="7E8F0783" w14:textId="77777777">
      <w:pPr>
        <w:pBdr/>
        <w:spacing/>
        <w:ind/>
        <w:jc w:val="both"/>
        <w:rPr/>
      </w:pPr>
      <w:r>
        <w:rPr>
          <w:rFonts w:ascii="Arial" w:hAnsi="Arial" w:cs="Arial"/>
          <w:b/>
          <w:color w:val="231f20"/>
        </w:rPr>
        <w:t xml:space="preserve">b)</w:t>
      </w:r>
      <w:r>
        <w:rPr>
          <w:rFonts w:ascii="Arial" w:hAnsi="Arial" w:cs="Arial"/>
          <w:color w:val="231f20"/>
        </w:rPr>
        <w:t xml:space="preserve"> o primeiro dia após a juntada ao processo do Aviso de Recebimento da correspondência em que a notificação foi enviada;</w:t>
      </w:r>
      <w:r/>
    </w:p>
    <w:p w14:paraId="502027FF" w14:textId="77777777">
      <w:pPr>
        <w:pBdr/>
        <w:spacing/>
        <w:ind/>
        <w:jc w:val="both"/>
        <w:rPr>
          <w:rFonts w:ascii="Arial" w:cs="Arial"/>
          <w:color w:val="231f20"/>
        </w:rPr>
      </w:pPr>
      <w:r>
        <w:rPr>
          <w:rFonts w:ascii="Arial" w:cs="Arial"/>
          <w:color w:val="231f20"/>
        </w:rPr>
      </w:r>
      <w:r>
        <w:rPr>
          <w:rFonts w:ascii="Arial" w:cs="Arial"/>
          <w:color w:val="231f20"/>
        </w:rPr>
      </w:r>
    </w:p>
    <w:p w14:paraId="7CAB41C4" w14:textId="77777777">
      <w:pPr>
        <w:pBdr/>
        <w:spacing/>
        <w:ind/>
        <w:jc w:val="both"/>
        <w:rPr/>
      </w:pPr>
      <w:r>
        <w:rPr>
          <w:rFonts w:ascii="Arial" w:hAnsi="Arial" w:cs="Arial"/>
          <w:b/>
          <w:color w:val="231f20"/>
        </w:rPr>
        <w:t xml:space="preserve">c)</w:t>
      </w:r>
      <w:r>
        <w:rPr>
          <w:rFonts w:ascii="Arial" w:hAnsi="Arial" w:cs="Arial"/>
          <w:color w:val="231f20"/>
        </w:rPr>
        <w:t xml:space="preserve"> o primeiro dia após o fim do prazo de 5 (cinco) dias, quando a notificação for publicada no DIORONDON.</w:t>
      </w:r>
      <w:r/>
    </w:p>
    <w:p w14:paraId="5106FE21" w14:textId="77777777">
      <w:pPr>
        <w:pBdr/>
        <w:spacing/>
        <w:ind/>
        <w:jc w:val="both"/>
        <w:rPr>
          <w:rFonts w:ascii="Arial" w:cs="Arial"/>
          <w:color w:val="231f20"/>
        </w:rPr>
      </w:pPr>
      <w:r>
        <w:rPr>
          <w:rFonts w:ascii="Arial" w:cs="Arial"/>
          <w:color w:val="231f20"/>
        </w:rPr>
      </w:r>
      <w:r>
        <w:rPr>
          <w:rFonts w:ascii="Arial" w:cs="Arial"/>
          <w:color w:val="231f20"/>
        </w:rPr>
      </w:r>
    </w:p>
    <w:p w14:paraId="145010A2" w14:textId="77777777">
      <w:pPr>
        <w:pBdr/>
        <w:spacing/>
        <w:ind/>
        <w:jc w:val="both"/>
        <w:rPr/>
      </w:pPr>
      <w:r>
        <w:rPr>
          <w:rFonts w:ascii="Arial" w:hAnsi="Arial" w:cs="Arial"/>
          <w:b/>
          <w:color w:val="231f20"/>
        </w:rPr>
        <w:t xml:space="preserve">17.7.</w:t>
      </w:r>
      <w:r>
        <w:rPr>
          <w:rFonts w:ascii="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r/>
    </w:p>
    <w:p w14:paraId="5E9AC5C1" w14:textId="77777777">
      <w:pPr>
        <w:pBdr/>
        <w:spacing/>
        <w:ind/>
        <w:jc w:val="both"/>
        <w:rPr>
          <w:rFonts w:ascii="Arial" w:cs="Arial"/>
          <w:color w:val="231f20"/>
        </w:rPr>
      </w:pPr>
      <w:r>
        <w:rPr>
          <w:rFonts w:ascii="Arial" w:cs="Arial"/>
          <w:color w:val="231f20"/>
        </w:rPr>
      </w:r>
      <w:r>
        <w:rPr>
          <w:rFonts w:ascii="Arial" w:cs="Arial"/>
          <w:color w:val="231f20"/>
        </w:rPr>
      </w:r>
    </w:p>
    <w:p w14:paraId="72A17213" w14:textId="77777777">
      <w:pPr>
        <w:pBdr/>
        <w:spacing/>
        <w:ind/>
        <w:jc w:val="both"/>
        <w:rPr/>
      </w:pPr>
      <w:r>
        <w:rPr>
          <w:rFonts w:ascii="Arial" w:hAnsi="Arial" w:cs="Arial"/>
          <w:b/>
          <w:color w:val="231f20"/>
        </w:rPr>
        <w:t xml:space="preserve">17.8.</w:t>
      </w:r>
      <w:r>
        <w:rPr>
          <w:rFonts w:ascii="Arial" w:hAnsi="Arial" w:cs="Arial"/>
          <w:color w:val="231f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p>
    <w:p w14:paraId="36A2317F" w14:textId="77777777">
      <w:pPr>
        <w:pBdr/>
        <w:spacing/>
        <w:ind/>
        <w:jc w:val="both"/>
        <w:rPr>
          <w:rFonts w:ascii="Arial" w:cs="Arial"/>
          <w:color w:val="231f20"/>
        </w:rPr>
      </w:pPr>
      <w:r>
        <w:rPr>
          <w:rFonts w:ascii="Arial" w:cs="Arial"/>
          <w:color w:val="231f20"/>
        </w:rPr>
      </w:r>
      <w:r>
        <w:rPr>
          <w:rFonts w:ascii="Arial" w:cs="Arial"/>
          <w:color w:val="231f20"/>
        </w:rPr>
      </w:r>
    </w:p>
    <w:p w14:paraId="0751B2E0" w14:textId="77777777">
      <w:pPr>
        <w:pBdr/>
        <w:spacing/>
        <w:ind/>
        <w:jc w:val="both"/>
        <w:rPr/>
      </w:pPr>
      <w:r>
        <w:rPr>
          <w:rFonts w:ascii="Arial" w:hAnsi="Arial" w:cs="Arial"/>
          <w:b/>
          <w:color w:val="231f20"/>
        </w:rPr>
        <w:t xml:space="preserve">17.9.</w:t>
      </w:r>
      <w:r>
        <w:rPr>
          <w:rFonts w:ascii="Arial" w:hAnsi="Arial" w:cs="Arial"/>
          <w:color w:val="231f20"/>
        </w:rPr>
        <w:t xml:space="preserve"> As sanções de advertência, impedimento de licitar e contratar e declaração de inidoneidade para licitar ou contratar poderão ser aplicadas, cumulativamente ou não, à penalidade de multa.</w:t>
      </w:r>
      <w:r/>
    </w:p>
    <w:p w14:paraId="6447F7C4" w14:textId="77777777">
      <w:pPr>
        <w:pBdr/>
        <w:spacing/>
        <w:ind/>
        <w:jc w:val="both"/>
        <w:rPr>
          <w:rFonts w:ascii="Arial" w:cs="Arial"/>
          <w:color w:val="231f20"/>
        </w:rPr>
      </w:pPr>
      <w:r>
        <w:rPr>
          <w:rFonts w:ascii="Arial" w:cs="Arial"/>
          <w:color w:val="231f20"/>
        </w:rPr>
      </w:r>
      <w:r>
        <w:rPr>
          <w:rFonts w:ascii="Arial" w:cs="Arial"/>
          <w:color w:val="231f20"/>
        </w:rPr>
      </w:r>
    </w:p>
    <w:p w14:paraId="37F9037A" w14:textId="77777777">
      <w:pPr>
        <w:pBdr/>
        <w:spacing/>
        <w:ind/>
        <w:jc w:val="both"/>
        <w:rPr/>
      </w:pPr>
      <w:r>
        <w:rPr>
          <w:rFonts w:ascii="Arial" w:hAnsi="Arial" w:cs="Arial"/>
          <w:b/>
          <w:color w:val="231f20"/>
        </w:rPr>
        <w:t xml:space="preserve">17.10.</w:t>
      </w:r>
      <w:r>
        <w:rPr>
          <w:rFonts w:ascii="Arial" w:hAnsi="Arial" w:cs="Arial"/>
          <w:color w:val="231f20"/>
        </w:rPr>
        <w:t xml:space="preserve"> O recurso e o pedido de reconsideração terão efeito suspensivo do ato ou da decisão recorrida até que sobrevenha decisão final da autoridade competente.</w:t>
      </w:r>
      <w:r/>
    </w:p>
    <w:p w14:paraId="67074106" w14:textId="77777777">
      <w:pPr>
        <w:pBdr/>
        <w:spacing/>
        <w:ind/>
        <w:jc w:val="both"/>
        <w:rPr>
          <w:rFonts w:ascii="Arial" w:cs="Arial"/>
          <w:color w:val="231f20"/>
        </w:rPr>
      </w:pPr>
      <w:r>
        <w:rPr>
          <w:rFonts w:ascii="Arial" w:cs="Arial"/>
          <w:color w:val="231f20"/>
        </w:rPr>
      </w:r>
      <w:r>
        <w:rPr>
          <w:rFonts w:ascii="Arial" w:cs="Arial"/>
          <w:color w:val="231f20"/>
        </w:rPr>
      </w:r>
    </w:p>
    <w:p w14:paraId="1C567DFD" w14:textId="77777777">
      <w:pPr>
        <w:pBdr/>
        <w:spacing/>
        <w:ind/>
        <w:jc w:val="both"/>
        <w:rPr/>
      </w:pPr>
      <w:r>
        <w:rPr>
          <w:rFonts w:ascii="Arial" w:hAnsi="Arial" w:cs="Arial"/>
          <w:b/>
          <w:color w:val="231f20"/>
        </w:rPr>
        <w:t xml:space="preserve">17.11. </w:t>
      </w:r>
      <w:r>
        <w:rPr>
          <w:rFonts w:ascii="Arial" w:hAnsi="Arial" w:cs="Arial"/>
          <w:color w:val="231f20"/>
        </w:rPr>
        <w:t xml:space="preserve">A aplicação das sanções previstas não exclui, em hipótese alguma, a obrigação de reparação integral dos danos causados, aplicando-se no que couber o disposto na Lei 14.133/2021 e Decreto Municipal 11.685/2023. </w:t>
      </w:r>
      <w:r/>
    </w:p>
    <w:p w14:paraId="3D2C2196" w14:textId="77777777">
      <w:pPr>
        <w:pBdr/>
        <w:spacing/>
        <w:ind/>
        <w:jc w:val="both"/>
        <w:rPr>
          <w:rFonts w:ascii="Arial" w:cs="Arial"/>
          <w:color w:val="231f20"/>
        </w:rPr>
      </w:pPr>
      <w:r>
        <w:rPr>
          <w:rFonts w:ascii="Arial" w:cs="Arial"/>
          <w:color w:val="231f20"/>
        </w:rPr>
      </w:r>
      <w:r>
        <w:rPr>
          <w:rFonts w:ascii="Arial" w:cs="Arial"/>
          <w:color w:val="231f20"/>
        </w:rPr>
      </w:r>
    </w:p>
    <w:p w14:paraId="611146B1" w14:textId="77777777">
      <w:pPr>
        <w:pBdr/>
        <w:spacing/>
        <w:ind/>
        <w:jc w:val="both"/>
        <w:rPr/>
      </w:pPr>
      <w:r>
        <w:rPr>
          <w:rFonts w:ascii="Arial" w:hAnsi="Arial" w:cs="Arial"/>
          <w:b/>
        </w:rPr>
        <w:t xml:space="preserve">18. CLÁUSULA DÉCIMA OITAVA – DAS DISPOSIÇÕES FINAIS</w:t>
      </w:r>
      <w:r/>
    </w:p>
    <w:p w14:paraId="6ED1CDEA" w14:textId="77777777">
      <w:pPr>
        <w:pBdr/>
        <w:spacing/>
        <w:ind/>
        <w:jc w:val="both"/>
        <w:rPr>
          <w:rFonts w:ascii="Arial" w:cs="Arial"/>
          <w:color w:val="231f20"/>
        </w:rPr>
      </w:pPr>
      <w:r>
        <w:rPr>
          <w:rFonts w:ascii="Arial" w:cs="Arial"/>
          <w:color w:val="231f20"/>
        </w:rPr>
      </w:r>
      <w:r>
        <w:rPr>
          <w:rFonts w:ascii="Arial" w:cs="Arial"/>
          <w:color w:val="231f20"/>
        </w:rPr>
      </w:r>
    </w:p>
    <w:p w14:paraId="01D56D24" w14:textId="77777777">
      <w:pPr>
        <w:pBdr/>
        <w:spacing/>
        <w:ind/>
        <w:jc w:val="both"/>
        <w:rPr/>
      </w:pPr>
      <w:r>
        <w:rPr>
          <w:rFonts w:ascii="Arial" w:hAnsi="Arial" w:cs="Arial"/>
          <w:b/>
          <w:color w:val="231f20"/>
        </w:rPr>
        <w:t xml:space="preserve">18.1.</w:t>
      </w:r>
      <w:r>
        <w:rPr>
          <w:rFonts w:ascii="Arial" w:hAnsi="Arial" w:cs="Arial"/>
          <w:color w:val="231f20"/>
        </w:rPr>
        <w:t xml:space="preserve"> Aplicam-se aos serviço/produtos todas as normas e exigências do Código de Defesa do Consumidor.  </w:t>
      </w:r>
      <w:r/>
    </w:p>
    <w:p w14:paraId="73C8BD8A" w14:textId="77777777">
      <w:pPr>
        <w:pBdr/>
        <w:spacing/>
        <w:ind/>
        <w:jc w:val="both"/>
        <w:rPr>
          <w:rFonts w:ascii="Arial" w:cs="Arial"/>
          <w:color w:val="231f20"/>
        </w:rPr>
      </w:pPr>
      <w:r>
        <w:rPr>
          <w:rFonts w:ascii="Arial" w:cs="Arial"/>
          <w:color w:val="231f20"/>
        </w:rPr>
      </w:r>
      <w:r>
        <w:rPr>
          <w:rFonts w:ascii="Arial" w:cs="Arial"/>
          <w:color w:val="231f20"/>
        </w:rPr>
      </w:r>
    </w:p>
    <w:p w14:paraId="771C5191" w14:textId="77777777">
      <w:pPr>
        <w:pBdr/>
        <w:spacing/>
        <w:ind/>
        <w:jc w:val="both"/>
        <w:rPr/>
      </w:pPr>
      <w:r>
        <w:rPr>
          <w:rFonts w:ascii="Arial" w:hAnsi="Arial" w:cs="Arial"/>
          <w:b/>
          <w:color w:val="231f20"/>
        </w:rPr>
        <w:t xml:space="preserve">18.2.</w:t>
      </w:r>
      <w:r>
        <w:rPr>
          <w:rFonts w:ascii="Arial" w:hAnsi="Arial" w:cs="Arial"/>
          <w:color w:val="231f20"/>
        </w:rPr>
        <w:t xml:space="preserve"> A tolerância do Município com qualquer atraso ou inadimplência por parte do Detentor não importará de forma alguma em alteração ou novação.</w:t>
      </w:r>
      <w:r/>
    </w:p>
    <w:p w14:paraId="147210F4" w14:textId="77777777">
      <w:pPr>
        <w:pBdr/>
        <w:spacing/>
        <w:ind/>
        <w:jc w:val="both"/>
        <w:rPr>
          <w:rFonts w:ascii="Arial" w:cs="Arial"/>
          <w:color w:val="231f20"/>
        </w:rPr>
      </w:pPr>
      <w:r>
        <w:rPr>
          <w:rFonts w:ascii="Arial" w:cs="Arial"/>
          <w:color w:val="231f20"/>
        </w:rPr>
      </w:r>
      <w:r>
        <w:rPr>
          <w:rFonts w:ascii="Arial" w:cs="Arial"/>
          <w:color w:val="231f20"/>
        </w:rPr>
      </w:r>
    </w:p>
    <w:p w14:paraId="77011C0E" w14:textId="77777777">
      <w:pPr>
        <w:pBdr/>
        <w:spacing/>
        <w:ind/>
        <w:jc w:val="both"/>
        <w:rPr/>
      </w:pPr>
      <w:r>
        <w:rPr>
          <w:rFonts w:ascii="Arial" w:hAnsi="Arial" w:cs="Arial"/>
          <w:b/>
          <w:color w:val="231f20"/>
        </w:rPr>
        <w:t xml:space="preserve">18.3.</w:t>
      </w:r>
      <w:r>
        <w:rPr>
          <w:rFonts w:ascii="Arial" w:hAnsi="Arial" w:cs="Arial"/>
          <w:color w:val="231f20"/>
        </w:rPr>
        <w:t xml:space="preserve"> Para ciência dos interessados e efeitos legais, a publicação do extrato da presente ARP no Diário Oficial do Município – DIORONDON. Será providenciada e correrá por conta e ônus do Município.</w:t>
      </w:r>
      <w:r/>
    </w:p>
    <w:p w14:paraId="009E46DE" w14:textId="77777777">
      <w:pPr>
        <w:pBdr/>
        <w:spacing/>
        <w:ind/>
        <w:jc w:val="both"/>
        <w:rPr>
          <w:rFonts w:ascii="Arial" w:cs="Arial"/>
          <w:color w:val="231f20"/>
        </w:rPr>
      </w:pPr>
      <w:r>
        <w:rPr>
          <w:rFonts w:ascii="Arial" w:cs="Arial"/>
          <w:color w:val="231f20"/>
        </w:rPr>
      </w:r>
      <w:r>
        <w:rPr>
          <w:rFonts w:ascii="Arial" w:cs="Arial"/>
          <w:color w:val="231f20"/>
        </w:rPr>
      </w:r>
    </w:p>
    <w:p w14:paraId="531156D7" w14:textId="77777777">
      <w:pPr>
        <w:pBdr/>
        <w:spacing/>
        <w:ind/>
        <w:jc w:val="both"/>
        <w:rPr/>
      </w:pPr>
      <w:r>
        <w:rPr>
          <w:rFonts w:ascii="Arial" w:hAnsi="Arial" w:cs="Arial"/>
          <w:b/>
          <w:color w:val="231f20"/>
        </w:rPr>
        <w:t xml:space="preserve">18.4.</w:t>
      </w:r>
      <w:r>
        <w:rPr>
          <w:rFonts w:ascii="Arial" w:hAnsi="Arial" w:cs="Arial"/>
          <w:color w:val="231f20"/>
        </w:rPr>
        <w:t xml:space="preserve"> Após 30 (trinta) dias do encerramento da vigência desta Ata de Registro de Preços, as amostras poderão ser retiradas em até 30 (trinta) dias pelo Detentor no seguinte endereço: Paço Municipal.</w:t>
      </w:r>
      <w:r/>
    </w:p>
    <w:p w14:paraId="5B3D45AE" w14:textId="77777777">
      <w:pPr>
        <w:pBdr/>
        <w:spacing/>
        <w:ind/>
        <w:jc w:val="both"/>
        <w:rPr>
          <w:rFonts w:ascii="Arial" w:cs="Arial"/>
          <w:color w:val="231f20"/>
        </w:rPr>
      </w:pPr>
      <w:r>
        <w:rPr>
          <w:rFonts w:ascii="Arial" w:cs="Arial"/>
          <w:color w:val="231f20"/>
        </w:rPr>
      </w:r>
      <w:r>
        <w:rPr>
          <w:rFonts w:ascii="Arial" w:cs="Arial"/>
          <w:color w:val="231f20"/>
        </w:rPr>
      </w:r>
    </w:p>
    <w:p w14:paraId="58A705C4" w14:textId="77777777">
      <w:pPr>
        <w:pBdr/>
        <w:spacing/>
        <w:ind/>
        <w:jc w:val="both"/>
        <w:rPr/>
      </w:pPr>
      <w:r>
        <w:rPr>
          <w:rFonts w:ascii="Arial" w:hAnsi="Arial" w:cs="Arial"/>
          <w:b/>
          <w:color w:val="231f20"/>
        </w:rPr>
        <w:t xml:space="preserve">18.4.1.</w:t>
      </w:r>
      <w:r>
        <w:rPr>
          <w:rFonts w:ascii="Arial" w:hAnsi="Arial" w:cs="Arial"/>
          <w:color w:val="231f20"/>
        </w:rPr>
        <w:t xml:space="preserve"> A Administração poderá dar o destino que melhor lhe convier às amostras que não forem retiradas no prazo estabelecido no subitem anterior, sem direito a ressarcimento.</w:t>
      </w:r>
      <w:r/>
    </w:p>
    <w:p w14:paraId="1A951D14" w14:textId="77777777">
      <w:pPr>
        <w:pBdr/>
        <w:spacing/>
        <w:ind/>
        <w:jc w:val="both"/>
        <w:rPr>
          <w:rFonts w:ascii="Arial" w:cs="Arial"/>
          <w:color w:val="231f20"/>
        </w:rPr>
      </w:pPr>
      <w:r>
        <w:rPr>
          <w:rFonts w:ascii="Arial" w:cs="Arial"/>
          <w:color w:val="231f20"/>
        </w:rPr>
      </w:r>
      <w:r>
        <w:rPr>
          <w:rFonts w:ascii="Arial" w:cs="Arial"/>
          <w:color w:val="231f20"/>
        </w:rPr>
      </w:r>
    </w:p>
    <w:p w14:paraId="658938D1" w14:textId="77777777">
      <w:pPr>
        <w:pBdr/>
        <w:spacing/>
        <w:ind/>
        <w:jc w:val="both"/>
        <w:rPr/>
      </w:pPr>
      <w:r>
        <w:rPr>
          <w:rFonts w:ascii="Arial" w:hAnsi="Arial" w:cs="Arial"/>
          <w:b/>
          <w:color w:val="231f20"/>
        </w:rPr>
        <w:t xml:space="preserve">18.5.</w:t>
      </w:r>
      <w:r>
        <w:rPr>
          <w:rFonts w:ascii="Arial" w:hAnsi="Arial" w:cs="Arial"/>
          <w:color w:val="231f20"/>
        </w:rPr>
        <w:t xml:space="preserve"> A presente ARP está vinculada, independentemente de transcrição, ao Edital e seus Anexos, bem como a proposta do Detentor, e integram o presente instrumento os seguintes anexos:</w:t>
      </w:r>
      <w:r/>
    </w:p>
    <w:p w14:paraId="5C559EBD" w14:textId="77777777">
      <w:pPr>
        <w:pBdr/>
        <w:spacing/>
        <w:ind/>
        <w:jc w:val="both"/>
        <w:rPr/>
      </w:pPr>
      <w:r>
        <w:rPr>
          <w:rFonts w:ascii="Arial" w:cs="Arial"/>
          <w:color w:val="ff0000"/>
          <w:sz w:val="24"/>
          <w:szCs w:val="24"/>
        </w:rPr>
        <w:tab/>
      </w:r>
      <w:r/>
    </w:p>
    <w:p w14:paraId="5BB79951" w14:textId="77777777">
      <w:pPr>
        <w:pBdr/>
        <w:spacing/>
        <w:ind/>
        <w:jc w:val="both"/>
        <w:rPr/>
      </w:pPr>
      <w:r>
        <w:rPr>
          <w:rFonts w:ascii="Arial" w:hAnsi="Arial" w:cs="Arial"/>
          <w:b/>
          <w:color w:val="231f20"/>
        </w:rPr>
        <w:t xml:space="preserve">18.5.1. ANEXO I</w:t>
      </w:r>
      <w:r>
        <w:rPr>
          <w:rFonts w:ascii="Arial" w:hAnsi="Arial" w:cs="Arial"/>
          <w:color w:val="231f20"/>
        </w:rPr>
        <w:t xml:space="preserve"> – Termo de Referência</w:t>
      </w:r>
      <w:r/>
    </w:p>
    <w:p w14:paraId="2D819E68" w14:textId="77777777">
      <w:pPr>
        <w:pBdr/>
        <w:spacing/>
        <w:ind/>
        <w:jc w:val="both"/>
        <w:rPr>
          <w:rFonts w:ascii="Arial" w:cs="Arial"/>
          <w:color w:val="231f20"/>
        </w:rPr>
      </w:pPr>
      <w:r>
        <w:rPr>
          <w:rFonts w:ascii="Arial" w:cs="Arial"/>
          <w:color w:val="231f20"/>
        </w:rPr>
      </w:r>
      <w:r>
        <w:rPr>
          <w:rFonts w:ascii="Arial" w:cs="Arial"/>
          <w:color w:val="231f20"/>
        </w:rPr>
      </w:r>
    </w:p>
    <w:p w14:paraId="60A6B76C" w14:textId="77777777">
      <w:pPr>
        <w:pBdr/>
        <w:spacing/>
        <w:ind/>
        <w:jc w:val="both"/>
        <w:rPr/>
      </w:pPr>
      <w:r>
        <w:rPr>
          <w:rFonts w:ascii="Arial" w:hAnsi="Arial" w:cs="Arial"/>
          <w:b/>
          <w:color w:val="231f20"/>
        </w:rPr>
        <w:t xml:space="preserve">18.5.2. ANEXO II </w:t>
      </w:r>
      <w:r>
        <w:rPr>
          <w:rFonts w:ascii="Arial" w:hAnsi="Arial" w:cs="Arial"/>
          <w:color w:val="231f20"/>
        </w:rPr>
        <w:t xml:space="preserve">- Informações sobre os serviços/produtos registrados;</w:t>
      </w:r>
      <w:r/>
    </w:p>
    <w:p w14:paraId="76D79A8D" w14:textId="77777777">
      <w:pPr>
        <w:pBdr/>
        <w:spacing/>
        <w:ind/>
        <w:jc w:val="both"/>
        <w:rPr>
          <w:rFonts w:ascii="Arial" w:cs="Arial"/>
          <w:color w:val="231f20"/>
        </w:rPr>
      </w:pPr>
      <w:r>
        <w:rPr>
          <w:rFonts w:ascii="Arial" w:cs="Arial"/>
          <w:color w:val="231f20"/>
        </w:rPr>
      </w:r>
      <w:r>
        <w:rPr>
          <w:rFonts w:ascii="Arial" w:cs="Arial"/>
          <w:color w:val="231f20"/>
        </w:rPr>
      </w:r>
    </w:p>
    <w:p w14:paraId="4850F7C7" w14:textId="77777777">
      <w:pPr>
        <w:pBdr/>
        <w:spacing/>
        <w:ind/>
        <w:jc w:val="both"/>
        <w:rPr/>
      </w:pPr>
      <w:r>
        <w:rPr>
          <w:rFonts w:ascii="Arial" w:hAnsi="Arial" w:cs="Arial"/>
          <w:b/>
          <w:color w:val="231f20"/>
        </w:rPr>
        <w:t xml:space="preserve">18.5.3. ANEXO III</w:t>
      </w:r>
      <w:r>
        <w:rPr>
          <w:rFonts w:ascii="Arial" w:hAnsi="Arial" w:cs="Arial"/>
          <w:color w:val="231f20"/>
        </w:rPr>
        <w:t xml:space="preserve"> - Relação dos endereços dos participantes deste Registro;</w:t>
      </w:r>
      <w:r/>
    </w:p>
    <w:p w14:paraId="653E5E23" w14:textId="77777777">
      <w:pPr>
        <w:pBdr/>
        <w:spacing/>
        <w:ind/>
        <w:jc w:val="both"/>
        <w:rPr>
          <w:rFonts w:ascii="Arial" w:cs="Arial"/>
          <w:color w:val="231f20"/>
        </w:rPr>
      </w:pPr>
      <w:r>
        <w:rPr>
          <w:rFonts w:ascii="Arial" w:cs="Arial"/>
          <w:color w:val="231f20"/>
        </w:rPr>
      </w:r>
      <w:r>
        <w:rPr>
          <w:rFonts w:ascii="Arial" w:cs="Arial"/>
          <w:color w:val="231f20"/>
        </w:rPr>
      </w:r>
    </w:p>
    <w:p w14:paraId="24AE648B" w14:textId="77777777">
      <w:pPr>
        <w:pBdr/>
        <w:spacing/>
        <w:ind/>
        <w:jc w:val="both"/>
        <w:rPr/>
      </w:pPr>
      <w:r>
        <w:rPr>
          <w:rFonts w:ascii="Arial" w:hAnsi="Arial" w:cs="Arial"/>
          <w:b/>
          <w:color w:val="231f20"/>
        </w:rPr>
        <w:t xml:space="preserve">18.5.4. ANEXO IV</w:t>
      </w:r>
      <w:r>
        <w:rPr>
          <w:rFonts w:ascii="Arial" w:hAnsi="Arial" w:cs="Arial"/>
          <w:color w:val="231f20"/>
        </w:rPr>
        <w:t xml:space="preserve"> - Cadastro de Reserva;</w:t>
      </w:r>
      <w:r/>
    </w:p>
    <w:p w14:paraId="5153FDB0" w14:textId="77777777">
      <w:pPr>
        <w:pBdr/>
        <w:spacing/>
        <w:ind/>
        <w:jc w:val="both"/>
        <w:rPr>
          <w:rFonts w:ascii="Arial" w:cs="Arial"/>
          <w:color w:val="231f20"/>
        </w:rPr>
      </w:pPr>
      <w:r>
        <w:rPr>
          <w:rFonts w:ascii="Arial" w:cs="Arial"/>
          <w:color w:val="231f20"/>
        </w:rPr>
      </w:r>
      <w:r>
        <w:rPr>
          <w:rFonts w:ascii="Arial" w:cs="Arial"/>
          <w:color w:val="231f20"/>
        </w:rPr>
      </w:r>
    </w:p>
    <w:p w14:paraId="1E3836EF" w14:textId="77777777">
      <w:pPr>
        <w:pBdr/>
        <w:spacing/>
        <w:ind/>
        <w:jc w:val="both"/>
        <w:rPr/>
      </w:pPr>
      <w:r>
        <w:rPr>
          <w:rFonts w:ascii="Arial" w:hAnsi="Arial" w:cs="Arial"/>
          <w:b/>
          <w:color w:val="231f20"/>
        </w:rPr>
        <w:t xml:space="preserve">18.5.5. ANEXO V</w:t>
      </w:r>
      <w:r>
        <w:rPr>
          <w:rFonts w:ascii="Arial" w:hAnsi="Arial" w:cs="Arial"/>
          <w:color w:val="231f20"/>
        </w:rPr>
        <w:t xml:space="preserve"> – Minuta de Contrato</w:t>
      </w:r>
      <w:r/>
    </w:p>
    <w:p w14:paraId="6DA03B2C" w14:textId="77777777">
      <w:pPr>
        <w:pBdr/>
        <w:spacing/>
        <w:ind/>
        <w:jc w:val="both"/>
        <w:rPr>
          <w:rFonts w:ascii="Arial" w:cs="Arial"/>
          <w:color w:val="231f20"/>
        </w:rPr>
      </w:pPr>
      <w:r>
        <w:rPr>
          <w:rFonts w:ascii="Arial" w:cs="Arial"/>
          <w:color w:val="231f20"/>
        </w:rPr>
      </w:r>
      <w:r>
        <w:rPr>
          <w:rFonts w:ascii="Arial" w:cs="Arial"/>
          <w:color w:val="231f20"/>
        </w:rPr>
      </w:r>
    </w:p>
    <w:p w14:paraId="370B0AB6" w14:textId="77777777">
      <w:pPr>
        <w:pBdr/>
        <w:spacing/>
        <w:ind/>
        <w:jc w:val="both"/>
        <w:rPr/>
      </w:pPr>
      <w:r>
        <w:rPr>
          <w:rFonts w:ascii="Arial" w:hAnsi="Arial" w:cs="Arial"/>
          <w:color w:val="231f20"/>
        </w:rPr>
        <w:t xml:space="preserve">18.6. As questões decorrentes da utilização da presente Ata que não possam ser dirimidas administrativamente serão processadas e julgadas no foro da cidade de Rondonópolis/MT, eleito pelas partes com exclusão de qualquer outro.</w:t>
      </w:r>
      <w:r/>
    </w:p>
    <w:p w14:paraId="3D8ED22A" w14:textId="73F189DC">
      <w:pPr>
        <w:pBdr/>
        <w:spacing/>
        <w:ind/>
        <w:jc w:val="center"/>
        <w:rPr/>
      </w:pPr>
      <w:r>
        <w:rPr>
          <w:rFonts w:ascii="Arial" w:hAnsi="Arial" w:cs="Arial"/>
          <w:color w:val="231f20"/>
        </w:rPr>
        <w:t xml:space="preserve">Rondonópolis-MT, XX de XXXXX de 202</w:t>
      </w:r>
      <w:r>
        <w:rPr>
          <w:rFonts w:ascii="Arial" w:hAnsi="Arial" w:cs="Arial"/>
          <w:color w:val="231f20"/>
        </w:rPr>
        <w:t xml:space="preserve">6</w:t>
      </w:r>
      <w:r>
        <w:rPr>
          <w:rFonts w:ascii="Arial" w:hAnsi="Arial" w:cs="Arial"/>
          <w:color w:val="231f20"/>
        </w:rPr>
        <w:t xml:space="preserve">.</w:t>
      </w:r>
      <w:r/>
      <w:r>
        <w:rPr>
          <w:rFonts w:ascii="Arial" w:cs="Arial"/>
          <w:color w:val="231f20"/>
        </w:rPr>
      </w:r>
      <w:r>
        <w:rPr>
          <w:rFonts w:ascii="Arial" w:cs="Arial"/>
          <w:color w:val="231f20"/>
        </w:rPr>
      </w:r>
      <w:r/>
    </w:p>
    <w:p w14:paraId="3C59A7A2" w14:textId="77777777">
      <w:pPr>
        <w:pBdr/>
        <w:spacing/>
        <w:ind/>
        <w:jc w:val="both"/>
        <w:rPr/>
      </w:pPr>
      <w:r>
        <w:rPr>
          <w:rFonts w:ascii="Arial" w:cs="Arial"/>
          <w:color w:val="231f20"/>
        </w:rPr>
        <w:t xml:space="preserve">...........................................................</w:t>
      </w:r>
      <w:r/>
    </w:p>
    <w:p w14:paraId="5680D3C8" w14:textId="77777777">
      <w:pPr>
        <w:pBdr/>
        <w:spacing/>
        <w:ind/>
        <w:jc w:val="both"/>
        <w:rPr/>
      </w:pPr>
      <w:r>
        <w:rPr>
          <w:rFonts w:ascii="Arial" w:hAnsi="Arial" w:cs="Arial"/>
          <w:color w:val="231f20"/>
        </w:rPr>
        <w:t xml:space="preserve">Secretário Municipal de .............................</w:t>
      </w:r>
      <w:r/>
    </w:p>
    <w:p w14:paraId="27498902" w14:textId="77777777">
      <w:pPr>
        <w:pBdr/>
        <w:spacing/>
        <w:ind/>
        <w:jc w:val="right"/>
        <w:rPr/>
      </w:pPr>
      <w:r>
        <w:rPr>
          <w:rFonts w:ascii="Arial" w:cs="Arial"/>
          <w:color w:val="231f20"/>
        </w:rPr>
        <w:t xml:space="preserve">.....................................................................</w:t>
      </w:r>
      <w:r/>
    </w:p>
    <w:p w14:paraId="4B19D40A" w14:textId="77777777">
      <w:pPr>
        <w:pBdr/>
        <w:spacing/>
        <w:ind/>
        <w:jc w:val="center"/>
        <w:rPr/>
      </w:pPr>
      <w:r>
        <w:rPr>
          <w:rFonts w:ascii="Arial" w:hAnsi="Arial" w:cs="Arial"/>
          <w:color w:val="231f20"/>
        </w:rPr>
        <w:t xml:space="preserve">Fornecedor da Ata de Registro de Preços</w:t>
      </w:r>
      <w:r/>
    </w:p>
    <w:p w14:paraId="38E853F5" w14:textId="77777777">
      <w:pPr>
        <w:pageBreakBefore w:val="true"/>
        <w:pBdr/>
        <w:spacing/>
        <w:ind/>
        <w:jc w:val="center"/>
        <w:rPr>
          <w:rFonts w:ascii="Arial" w:cs="Arial"/>
          <w:b/>
        </w:rPr>
      </w:pPr>
      <w:r>
        <w:rPr>
          <w:rFonts w:ascii="Arial" w:cs="Arial"/>
          <w:b/>
        </w:rPr>
      </w:r>
      <w:r>
        <w:rPr>
          <w:rFonts w:ascii="Arial" w:cs="Arial"/>
          <w:b/>
        </w:rPr>
      </w:r>
    </w:p>
    <w:p w14:paraId="43E9AD0E" w14:textId="77777777">
      <w:pPr>
        <w:pStyle w:val="873"/>
        <w:pBdr/>
        <w:spacing w:after="0" w:before="0"/>
        <w:ind/>
        <w:jc w:val="center"/>
        <w:rPr>
          <w:lang w:val="pt-BR"/>
        </w:rPr>
      </w:pPr>
      <w:r/>
      <w:bookmarkStart w:id="94" w:name="_Toc31331"/>
      <w:r>
        <w:rPr>
          <w:sz w:val="20"/>
          <w:szCs w:val="20"/>
          <w:lang w:val="pt-BR"/>
        </w:rPr>
        <w:t xml:space="preserve">ANEXO III: MINUTA DO CONTRATO.</w:t>
      </w:r>
      <w:bookmarkEnd w:id="94"/>
      <w:r/>
      <w:r>
        <w:rPr>
          <w:lang w:val="pt-BR"/>
        </w:rPr>
      </w:r>
    </w:p>
    <w:p w14:paraId="76A0BDC3" w14:textId="77777777">
      <w:pPr>
        <w:pBdr/>
        <w:spacing/>
        <w:ind/>
        <w:jc w:val="both"/>
        <w:rPr>
          <w:rFonts w:ascii="Arial" w:cs="Arial"/>
        </w:rPr>
      </w:pPr>
      <w:r>
        <w:rPr>
          <w:rFonts w:ascii="Arial" w:cs="Arial"/>
        </w:rPr>
      </w:r>
      <w:r>
        <w:rPr>
          <w:rFonts w:ascii="Arial" w:cs="Arial"/>
        </w:rPr>
      </w:r>
    </w:p>
    <w:p w14:paraId="0F9CCD37" w14:textId="77777777">
      <w:pPr>
        <w:pBdr/>
        <w:spacing/>
        <w:ind/>
        <w:jc w:val="both"/>
        <w:rPr/>
      </w:pPr>
      <w:r>
        <w:rPr>
          <w:rFonts w:ascii="Arial" w:hAnsi="Arial" w:cs="Arial"/>
        </w:rPr>
        <w:t xml:space="preserve">CONTRATO Nº </w:t>
      </w:r>
      <w:r>
        <w:rPr>
          <w:rFonts w:ascii="Arial" w:hAnsi="Arial" w:cs="Arial"/>
          <w:b/>
        </w:rPr>
        <w:t xml:space="preserve">XXX/XXXX</w:t>
      </w:r>
      <w:r/>
    </w:p>
    <w:p w14:paraId="0D7975B3" w14:textId="77777777">
      <w:pPr>
        <w:pBdr/>
        <w:spacing/>
        <w:ind w:left="4536"/>
        <w:jc w:val="both"/>
        <w:rPr/>
      </w:pPr>
      <w:r>
        <w:rPr>
          <w:rFonts w:ascii="Arial" w:hAnsi="Arial" w:cs="Arial"/>
        </w:rPr>
        <w:t xml:space="preserve">CONTRATO QUE ENTRE SI CELEBRAM O </w:t>
      </w:r>
      <w:r>
        <w:rPr>
          <w:rFonts w:ascii="Arial" w:hAnsi="Arial" w:cs="Arial"/>
          <w:b/>
        </w:rPr>
        <w:t xml:space="preserve">MUNICIPIO DE RONDONÓPOLIS</w:t>
      </w:r>
      <w:r>
        <w:rPr>
          <w:rFonts w:ascii="Arial" w:hAnsi="Arial" w:cs="Arial"/>
        </w:rPr>
        <w:t xml:space="preserve">, E (O)A EMPRESA: </w:t>
      </w:r>
      <w:r>
        <w:rPr>
          <w:rFonts w:ascii="Arial" w:hAnsi="Arial" w:cs="Arial"/>
          <w:b/>
        </w:rPr>
        <w:t xml:space="preserve">XXXXX</w:t>
      </w:r>
      <w:r>
        <w:rPr>
          <w:rFonts w:ascii="Arial" w:hAnsi="Arial" w:cs="Arial"/>
        </w:rPr>
        <w:t xml:space="preserve"> ABAIXO QUALIFICADOS, PARA O FIM QUE NELE SE DECLARA.</w:t>
      </w:r>
      <w:r/>
    </w:p>
    <w:p w14:paraId="07A508C8" w14:textId="77777777">
      <w:pPr>
        <w:pBdr/>
        <w:spacing/>
        <w:ind/>
        <w:jc w:val="both"/>
        <w:rPr>
          <w:rFonts w:ascii="Arial" w:cs="Arial"/>
        </w:rPr>
      </w:pPr>
      <w:r>
        <w:rPr>
          <w:rFonts w:ascii="Arial" w:cs="Arial"/>
        </w:rPr>
      </w:r>
      <w:r>
        <w:rPr>
          <w:rFonts w:ascii="Arial" w:cs="Arial"/>
        </w:rPr>
      </w:r>
    </w:p>
    <w:p w14:paraId="614E8F56" w14:textId="795BEE2F">
      <w:pPr>
        <w:pBdr/>
        <w:spacing/>
        <w:ind/>
        <w:jc w:val="both"/>
        <w:rPr/>
      </w:pPr>
      <w:r>
        <w:rPr>
          <w:rFonts w:ascii="Arial" w:hAnsi="Arial" w:cs="Arial"/>
          <w:b/>
        </w:rPr>
        <w:t xml:space="preserve">O MUNICÍPIO DE RONDONÓPOLIS-MT.</w:t>
      </w:r>
      <w:r>
        <w:rPr>
          <w:rFonts w:ascii="Arial" w:hAnsi="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cs="Arial"/>
          <w:b/>
        </w:rPr>
        <w:t xml:space="preserve">xxxxxxxxxxxxxxxx</w:t>
      </w:r>
      <w:r>
        <w:rPr>
          <w:rFonts w:ascii="Arial" w:hAnsi="Arial" w:cs="Arial"/>
        </w:rPr>
        <w:t xml:space="preserve">, brasileiro,</w:t>
      </w:r>
      <w:r>
        <w:rPr>
          <w:rFonts w:ascii="Arial" w:hAnsi="Arial" w:cs="Arial"/>
        </w:rPr>
        <w:t xml:space="preserve"> casado, xxxxxxxxxxxxx,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cs="Arial"/>
          <w:b/>
        </w:rPr>
        <w:t xml:space="preserve">CONTRATANTE</w:t>
      </w:r>
      <w:r>
        <w:rPr>
          <w:rFonts w:ascii="Arial" w:hAnsi="Arial" w:cs="Arial"/>
        </w:rPr>
        <w:t xml:space="preserve">; e de outro lado, a empresa </w:t>
      </w:r>
      <w:r>
        <w:rPr>
          <w:rFonts w:ascii="Arial" w:hAnsi="Arial" w:cs="Arial"/>
          <w:b/>
        </w:rPr>
        <w:t xml:space="preserve">xxxxxxxxxxxx</w:t>
      </w:r>
      <w:r>
        <w:rPr>
          <w:rFonts w:ascii="Arial" w:hAnsi="Arial" w:cs="Arial"/>
        </w:rPr>
        <w:t xml:space="preserve">, inscrita no CNPJ/MF. sob nº xx.xxx.xxx/xxxx-xx, Inscrição Estadual nº xxx.xxx.xxx.xxx, com sede na cidade de xxxxxxxxxx, Estado de xxxxxxxxxx, à Rua xxxxxxxxxxxxx nº x.xxx, xxxxxxxx, neste ato representada pelo xxxxxxxx, Sr. </w:t>
      </w:r>
      <w:r>
        <w:rPr>
          <w:rFonts w:ascii="Arial" w:hAnsi="Arial" w:cs="Arial"/>
          <w:b/>
        </w:rPr>
        <w:t xml:space="preserve">xxxxxxxxx</w:t>
      </w:r>
      <w:r>
        <w:rPr>
          <w:rFonts w:ascii="Arial" w:hAnsi="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cs="Arial"/>
          <w:b/>
        </w:rPr>
        <w:t xml:space="preserve">CONTRATADA</w:t>
      </w:r>
      <w:r>
        <w:rPr>
          <w:rFonts w:ascii="Arial" w:hAnsi="Arial" w:cs="Arial"/>
        </w:rPr>
        <w:t xml:space="preserve">, tendo em vista o resultado final do PREGÃO ELETRÔNICO nº.XX/202</w:t>
      </w:r>
      <w:r>
        <w:rPr>
          <w:rFonts w:ascii="Arial" w:hAnsi="Arial" w:cs="Arial"/>
        </w:rPr>
        <w:t xml:space="preserve">6</w:t>
      </w:r>
      <w:r>
        <w:rPr>
          <w:rFonts w:ascii="Arial" w:hAnsi="Arial" w:cs="Arial"/>
        </w:rPr>
        <w:t xml:space="preserve">, com fundamento na </w:t>
      </w:r>
      <w:r>
        <w:rPr>
          <w:rFonts w:ascii="Arial" w:hAnsi="Arial" w:cs="Arial"/>
          <w:color w:val="ff0000"/>
        </w:rPr>
        <w:t xml:space="preserve">Lei XXXXXXXX</w:t>
      </w:r>
      <w:r>
        <w:rPr>
          <w:rFonts w:ascii="Arial" w:hAnsi="Arial" w:cs="Arial"/>
        </w:rPr>
        <w:t xml:space="preserve">, e demais legislações correlatadas, resolvem celebrar o presente instrumento, mediante as cláusulas e condições a seguir:</w:t>
      </w:r>
      <w:r/>
    </w:p>
    <w:p w14:paraId="1DDDB64D" w14:textId="77777777">
      <w:pPr>
        <w:pBdr/>
        <w:spacing/>
        <w:ind/>
        <w:jc w:val="both"/>
        <w:rPr>
          <w:rFonts w:ascii="Arial" w:cs="Arial"/>
        </w:rPr>
      </w:pPr>
      <w:r>
        <w:rPr>
          <w:rFonts w:ascii="Arial" w:cs="Arial"/>
        </w:rPr>
      </w:r>
      <w:r>
        <w:rPr>
          <w:rFonts w:ascii="Arial" w:cs="Arial"/>
        </w:rPr>
      </w:r>
    </w:p>
    <w:p w14:paraId="5DA77C91" w14:textId="77777777">
      <w:pPr>
        <w:pBdr/>
        <w:spacing/>
        <w:ind/>
        <w:jc w:val="both"/>
        <w:rPr/>
      </w:pPr>
      <w:r>
        <w:rPr>
          <w:rFonts w:ascii="Arial" w:hAnsi="Arial" w:cs="Arial"/>
          <w:b/>
        </w:rPr>
        <w:t xml:space="preserve">CLÁUSULA PRIMEIRA – DOCUMENTOS INTEGRANTES DO CONTRATO</w:t>
      </w:r>
      <w:r/>
    </w:p>
    <w:p w14:paraId="7D62A349" w14:textId="77777777">
      <w:pPr>
        <w:pBdr/>
        <w:spacing/>
        <w:ind/>
        <w:jc w:val="both"/>
        <w:rPr>
          <w:rFonts w:ascii="Arial" w:cs="Arial"/>
          <w:b/>
        </w:rPr>
      </w:pPr>
      <w:r>
        <w:rPr>
          <w:rFonts w:ascii="Arial" w:cs="Arial"/>
          <w:b/>
        </w:rPr>
      </w:r>
      <w:r>
        <w:rPr>
          <w:rFonts w:ascii="Arial" w:cs="Arial"/>
          <w:b/>
        </w:rPr>
      </w:r>
    </w:p>
    <w:p w14:paraId="4C1F14D7" w14:textId="24EB2936">
      <w:pPr>
        <w:numPr>
          <w:ilvl w:val="1"/>
          <w:numId w:val="11"/>
        </w:numPr>
        <w:pBdr/>
        <w:spacing/>
        <w:ind/>
        <w:jc w:val="both"/>
        <w:rPr/>
      </w:pPr>
      <w:r>
        <w:rPr>
          <w:rFonts w:ascii="Arial" w:hAnsi="Arial" w:cs="Arial"/>
        </w:rPr>
        <w:t xml:space="preserve">Edital e anexos do PREGÃO ELETRÔNICO nº XX/202</w:t>
      </w:r>
      <w:r>
        <w:rPr>
          <w:rFonts w:ascii="Arial" w:hAnsi="Arial" w:cs="Arial"/>
        </w:rPr>
        <w:t xml:space="preserve">6</w:t>
      </w:r>
      <w:r>
        <w:rPr>
          <w:rFonts w:ascii="Arial" w:hAnsi="Arial" w:cs="Arial"/>
        </w:rPr>
        <w:t xml:space="preserve">;</w:t>
      </w:r>
      <w:r/>
    </w:p>
    <w:p w14:paraId="5F6F568B" w14:textId="77777777">
      <w:pPr>
        <w:pBdr/>
        <w:spacing/>
        <w:ind w:left="405"/>
        <w:jc w:val="both"/>
        <w:rPr>
          <w:rFonts w:ascii="Arial" w:cs="Arial"/>
        </w:rPr>
      </w:pPr>
      <w:r>
        <w:rPr>
          <w:rFonts w:ascii="Arial" w:cs="Arial"/>
        </w:rPr>
      </w:r>
      <w:r>
        <w:rPr>
          <w:rFonts w:ascii="Arial" w:cs="Arial"/>
        </w:rPr>
      </w:r>
    </w:p>
    <w:p w14:paraId="4D57F58D" w14:textId="3BBED6D4">
      <w:pPr>
        <w:numPr>
          <w:ilvl w:val="1"/>
          <w:numId w:val="11"/>
        </w:numPr>
        <w:pBdr/>
        <w:spacing/>
        <w:ind/>
        <w:jc w:val="both"/>
        <w:rPr/>
      </w:pPr>
      <w:r>
        <w:rPr>
          <w:rFonts w:ascii="Arial" w:hAnsi="Arial" w:cs="Arial"/>
        </w:rPr>
        <w:t xml:space="preserve">Termo de Referência nº XX/202</w:t>
      </w:r>
      <w:r>
        <w:rPr>
          <w:rFonts w:ascii="Arial" w:hAnsi="Arial" w:cs="Arial"/>
        </w:rPr>
        <w:t xml:space="preserve">6</w:t>
      </w:r>
      <w:r>
        <w:rPr>
          <w:rFonts w:ascii="Arial" w:hAnsi="Arial" w:cs="Arial"/>
        </w:rPr>
        <w:t xml:space="preserve">;</w:t>
      </w:r>
      <w:r/>
    </w:p>
    <w:p w14:paraId="42740102" w14:textId="77777777">
      <w:pPr>
        <w:pStyle w:val="1120"/>
        <w:pBdr/>
        <w:spacing/>
        <w:ind/>
        <w:rPr>
          <w:rFonts w:ascii="Arial" w:cs="Arial"/>
          <w:sz w:val="20"/>
          <w:szCs w:val="20"/>
        </w:rPr>
      </w:pPr>
      <w:r>
        <w:rPr>
          <w:rFonts w:ascii="Arial" w:cs="Arial"/>
          <w:sz w:val="20"/>
          <w:szCs w:val="20"/>
        </w:rPr>
      </w:r>
      <w:r>
        <w:rPr>
          <w:rFonts w:ascii="Arial" w:cs="Arial"/>
          <w:sz w:val="20"/>
          <w:szCs w:val="20"/>
        </w:rPr>
      </w:r>
    </w:p>
    <w:p w14:paraId="77577AF2" w14:textId="77777777">
      <w:pPr>
        <w:numPr>
          <w:ilvl w:val="1"/>
          <w:numId w:val="11"/>
        </w:numPr>
        <w:pBdr/>
        <w:spacing/>
        <w:ind/>
        <w:jc w:val="both"/>
        <w:rPr/>
      </w:pPr>
      <w:r>
        <w:rPr>
          <w:rFonts w:ascii="Arial" w:hAnsi="Arial" w:cs="Arial"/>
        </w:rPr>
        <w:t xml:space="preserve">Proposta de Preço readequada da CONTRATADA;</w:t>
      </w:r>
      <w:r/>
    </w:p>
    <w:p w14:paraId="72149238" w14:textId="77777777">
      <w:pPr>
        <w:pStyle w:val="1120"/>
        <w:pBdr/>
        <w:spacing/>
        <w:ind/>
        <w:rPr>
          <w:rFonts w:ascii="Arial" w:cs="Arial"/>
          <w:sz w:val="20"/>
          <w:szCs w:val="20"/>
        </w:rPr>
      </w:pPr>
      <w:r>
        <w:rPr>
          <w:rFonts w:ascii="Arial" w:cs="Arial"/>
          <w:sz w:val="20"/>
          <w:szCs w:val="20"/>
        </w:rPr>
      </w:r>
      <w:r>
        <w:rPr>
          <w:rFonts w:ascii="Arial" w:cs="Arial"/>
          <w:sz w:val="20"/>
          <w:szCs w:val="20"/>
        </w:rPr>
      </w:r>
    </w:p>
    <w:p w14:paraId="1A3A555F" w14:textId="77777777">
      <w:pPr>
        <w:numPr>
          <w:ilvl w:val="1"/>
          <w:numId w:val="11"/>
        </w:numPr>
        <w:pBdr/>
        <w:spacing/>
        <w:ind/>
        <w:jc w:val="both"/>
        <w:rPr/>
      </w:pPr>
      <w:r>
        <w:rPr>
          <w:rFonts w:ascii="Arial" w:hAnsi="Arial" w:cs="Arial"/>
        </w:rPr>
        <w:t xml:space="preserve">Anexos dos documentos aqui listados;</w:t>
      </w:r>
      <w:r/>
    </w:p>
    <w:p w14:paraId="4AE9EE0F" w14:textId="77777777">
      <w:pPr>
        <w:pStyle w:val="1120"/>
        <w:pBdr/>
        <w:spacing/>
        <w:ind/>
        <w:rPr>
          <w:rFonts w:ascii="Arial" w:cs="Arial"/>
          <w:sz w:val="20"/>
          <w:szCs w:val="20"/>
        </w:rPr>
      </w:pPr>
      <w:r>
        <w:rPr>
          <w:rFonts w:ascii="Arial" w:cs="Arial"/>
          <w:sz w:val="20"/>
          <w:szCs w:val="20"/>
        </w:rPr>
      </w:r>
      <w:r>
        <w:rPr>
          <w:rFonts w:ascii="Arial" w:cs="Arial"/>
          <w:sz w:val="20"/>
          <w:szCs w:val="20"/>
        </w:rPr>
      </w:r>
    </w:p>
    <w:p w14:paraId="0B5E9968" w14:textId="77777777">
      <w:pPr>
        <w:numPr>
          <w:ilvl w:val="1"/>
          <w:numId w:val="11"/>
        </w:numPr>
        <w:pBdr/>
        <w:spacing/>
        <w:ind/>
        <w:jc w:val="both"/>
        <w:rPr/>
      </w:pPr>
      <w:r>
        <w:rPr>
          <w:rFonts w:ascii="Arial" w:hAnsi="Arial" w:cs="Arial"/>
        </w:rPr>
        <w:t xml:space="preserve">Ata (s) de Registro de Preços;</w:t>
      </w:r>
      <w:r/>
    </w:p>
    <w:p w14:paraId="472FEA18" w14:textId="77777777">
      <w:pPr>
        <w:pStyle w:val="1120"/>
        <w:pBdr/>
        <w:spacing/>
        <w:ind/>
        <w:rPr>
          <w:rFonts w:ascii="Arial" w:cs="Arial"/>
          <w:sz w:val="20"/>
          <w:szCs w:val="20"/>
        </w:rPr>
      </w:pPr>
      <w:r>
        <w:rPr>
          <w:rFonts w:ascii="Arial" w:cs="Arial"/>
          <w:sz w:val="20"/>
          <w:szCs w:val="20"/>
        </w:rPr>
      </w:r>
      <w:r>
        <w:rPr>
          <w:rFonts w:ascii="Arial" w:cs="Arial"/>
          <w:sz w:val="20"/>
          <w:szCs w:val="20"/>
        </w:rPr>
      </w:r>
    </w:p>
    <w:p w14:paraId="14348738" w14:textId="77777777">
      <w:pPr>
        <w:pBdr/>
        <w:spacing/>
        <w:ind/>
        <w:jc w:val="both"/>
        <w:rPr/>
      </w:pPr>
      <w:r>
        <w:rPr>
          <w:rFonts w:ascii="Arial" w:hAnsi="Arial" w:cs="Arial"/>
          <w:b/>
        </w:rPr>
        <w:t xml:space="preserve">1.6.</w:t>
      </w:r>
      <w:r>
        <w:rPr>
          <w:rFonts w:ascii="Arial" w:hAnsi="Arial" w:cs="Arial"/>
        </w:rPr>
        <w:t xml:space="preserve"> Os documentos referidos acima são considerados suficientes para, em complemento a este instrumento contratual, definir a sua intenção e, desta forma, reger sua execução dentro do mais alto padrão da técnica atual.</w:t>
      </w:r>
      <w:r/>
    </w:p>
    <w:p w14:paraId="3E34236B" w14:textId="77777777">
      <w:pPr>
        <w:pBdr/>
        <w:spacing/>
        <w:ind/>
        <w:jc w:val="both"/>
        <w:rPr>
          <w:rFonts w:ascii="Arial" w:cs="Arial"/>
          <w:b/>
        </w:rPr>
      </w:pPr>
      <w:r>
        <w:rPr>
          <w:rFonts w:ascii="Arial" w:cs="Arial"/>
          <w:b/>
        </w:rPr>
      </w:r>
      <w:r>
        <w:rPr>
          <w:rFonts w:ascii="Arial" w:cs="Arial"/>
          <w:b/>
        </w:rPr>
      </w:r>
    </w:p>
    <w:p w14:paraId="713FA2EC" w14:textId="77777777">
      <w:pPr>
        <w:pBdr/>
        <w:spacing/>
        <w:ind/>
        <w:rPr/>
      </w:pPr>
      <w:r>
        <w:rPr>
          <w:rFonts w:ascii="Arial" w:hAnsi="Arial" w:cs="Arial"/>
          <w:b/>
        </w:rPr>
        <w:t xml:space="preserve">CLÁUSULA SEGUNDA – DO OBJETO:</w:t>
      </w:r>
      <w:r/>
    </w:p>
    <w:p w14:paraId="315A3CE2" w14:textId="77777777">
      <w:pPr>
        <w:pBdr/>
        <w:spacing/>
        <w:ind/>
        <w:rPr>
          <w:rFonts w:ascii="Arial" w:cs="Arial"/>
          <w:b/>
        </w:rPr>
      </w:pPr>
      <w:r>
        <w:rPr>
          <w:rFonts w:ascii="Arial" w:cs="Arial"/>
          <w:b/>
        </w:rPr>
      </w:r>
      <w:r>
        <w:rPr>
          <w:rFonts w:ascii="Arial" w:cs="Arial"/>
          <w:b/>
        </w:rPr>
      </w:r>
    </w:p>
    <w:p w14:paraId="6DDE7B65" w14:textId="77777777">
      <w:pPr>
        <w:pBdr/>
        <w:spacing/>
        <w:ind/>
        <w:jc w:val="both"/>
        <w:rPr/>
      </w:pPr>
      <w:r>
        <w:rPr>
          <w:rFonts w:ascii="Arial" w:hAnsi="Arial" w:cs="Arial"/>
          <w:b/>
        </w:rPr>
        <w:t xml:space="preserve">2.1. </w:t>
      </w:r>
      <w:r>
        <w:rPr>
          <w:rFonts w:ascii="Arial" w:hAnsi="Arial" w:cs="Arial"/>
        </w:rPr>
        <w:t xml:space="preserve">O presente contrato tem por objeto a obrigação de fornecer/executar os produtos/serviços, na forma e qualidade estabelecidas nos documentos constantes da CLÁÚSULA PRIMEIRA.</w:t>
      </w:r>
      <w:r/>
    </w:p>
    <w:p w14:paraId="0B30D4F8" w14:textId="77777777">
      <w:pPr>
        <w:pBdr/>
        <w:spacing/>
        <w:ind/>
        <w:jc w:val="both"/>
        <w:rPr>
          <w:rFonts w:ascii="Arial" w:cs="Arial"/>
          <w:b/>
        </w:rPr>
      </w:pPr>
      <w:r>
        <w:rPr>
          <w:rFonts w:ascii="Arial" w:cs="Arial"/>
          <w:b/>
        </w:rPr>
      </w:r>
      <w:r>
        <w:rPr>
          <w:rFonts w:ascii="Arial" w:cs="Arial"/>
          <w:b/>
        </w:rPr>
      </w:r>
    </w:p>
    <w:p w14:paraId="6B66EA8F" w14:textId="77777777">
      <w:pPr>
        <w:pBdr/>
        <w:spacing/>
        <w:ind/>
        <w:jc w:val="both"/>
        <w:rPr/>
      </w:pPr>
      <w:r>
        <w:rPr>
          <w:rFonts w:ascii="Arial" w:hAnsi="Arial" w:cs="Arial"/>
          <w:b/>
        </w:rPr>
        <w:t xml:space="preserve">CLÁUSULA TERCEIRA – DO REGIME DE EXECUÇÃO E FORMA DE FORNECIMENTO</w:t>
      </w:r>
      <w:r/>
    </w:p>
    <w:p w14:paraId="66416031" w14:textId="77777777">
      <w:pPr>
        <w:pBdr/>
        <w:spacing/>
        <w:ind/>
        <w:jc w:val="both"/>
        <w:rPr>
          <w:rFonts w:ascii="Arial" w:cs="Arial"/>
          <w:b/>
        </w:rPr>
      </w:pPr>
      <w:r>
        <w:rPr>
          <w:rFonts w:ascii="Arial" w:cs="Arial"/>
          <w:b/>
        </w:rPr>
      </w:r>
      <w:r>
        <w:rPr>
          <w:rFonts w:ascii="Arial" w:cs="Arial"/>
          <w:b/>
        </w:rPr>
      </w:r>
    </w:p>
    <w:p w14:paraId="75141588" w14:textId="77777777">
      <w:pPr>
        <w:pBdr/>
        <w:spacing/>
        <w:ind/>
        <w:jc w:val="both"/>
        <w:rPr/>
      </w:pPr>
      <w:r>
        <w:rPr>
          <w:rFonts w:ascii="Arial" w:hAnsi="Arial" w:cs="Arial"/>
          <w:b/>
        </w:rPr>
        <w:t xml:space="preserve">3.1. </w:t>
      </w:r>
      <w:r>
        <w:rPr>
          <w:rFonts w:ascii="Arial" w:hAnsi="Arial" w:cs="Arial"/>
        </w:rPr>
        <w:t xml:space="preserve">O regime de execução é diferido e o fornecimento do objeto se dará mediante solicitação realizada pelos órgãos municipais, por meio de ordem de fornecimento, devendo constar informações que identifique o solicitante</w:t>
      </w:r>
      <w:r>
        <w:rPr>
          <w:rFonts w:ascii="Arial" w:hAnsi="Arial" w:cs="Arial"/>
          <w:b/>
        </w:rPr>
        <w:t xml:space="preserve">;</w:t>
      </w:r>
      <w:r/>
    </w:p>
    <w:p w14:paraId="1E8B0B87" w14:textId="77777777">
      <w:pPr>
        <w:pBdr/>
        <w:spacing/>
        <w:ind/>
        <w:jc w:val="both"/>
        <w:rPr>
          <w:rFonts w:ascii="Arial" w:cs="Arial"/>
          <w:b/>
        </w:rPr>
      </w:pPr>
      <w:r>
        <w:rPr>
          <w:rFonts w:ascii="Arial" w:cs="Arial"/>
          <w:b/>
        </w:rPr>
      </w:r>
      <w:r>
        <w:rPr>
          <w:rFonts w:ascii="Arial" w:cs="Arial"/>
          <w:b/>
        </w:rPr>
      </w:r>
    </w:p>
    <w:p w14:paraId="5745FD1A" w14:textId="77777777">
      <w:pPr>
        <w:pBdr/>
        <w:spacing/>
        <w:ind/>
        <w:jc w:val="both"/>
        <w:rPr/>
      </w:pPr>
      <w:r>
        <w:rPr>
          <w:rFonts w:ascii="Arial" w:hAnsi="Arial" w:cs="Arial"/>
          <w:b/>
        </w:rPr>
        <w:t xml:space="preserve">3.2. </w:t>
      </w:r>
      <w:r>
        <w:rPr>
          <w:rFonts w:ascii="Arial" w:hAnsi="Arial" w:cs="Arial"/>
        </w:rPr>
        <w:t xml:space="preserve">Na execução do objeto deverão ainda serem observadas as condições estabelecidas no termo de referência, edital e seus anexos;</w:t>
      </w:r>
      <w:r/>
    </w:p>
    <w:p w14:paraId="330BBE17" w14:textId="77777777">
      <w:pPr>
        <w:pBdr/>
        <w:spacing/>
        <w:ind/>
        <w:jc w:val="both"/>
        <w:rPr>
          <w:rFonts w:ascii="Arial" w:cs="Arial"/>
          <w:b/>
        </w:rPr>
      </w:pPr>
      <w:r>
        <w:rPr>
          <w:rFonts w:ascii="Arial" w:cs="Arial"/>
          <w:b/>
        </w:rPr>
      </w:r>
      <w:r>
        <w:rPr>
          <w:rFonts w:ascii="Arial" w:cs="Arial"/>
          <w:b/>
        </w:rPr>
      </w:r>
    </w:p>
    <w:p w14:paraId="6488448E" w14:textId="77777777">
      <w:pPr>
        <w:pBdr/>
        <w:spacing/>
        <w:ind/>
        <w:jc w:val="both"/>
        <w:rPr/>
      </w:pPr>
      <w:r>
        <w:rPr>
          <w:rFonts w:ascii="Arial" w:hAnsi="Arial" w:cs="Arial"/>
          <w:b/>
        </w:rPr>
        <w:t xml:space="preserve">3.3. </w:t>
      </w:r>
      <w:r>
        <w:rPr>
          <w:rFonts w:ascii="Arial" w:hAnsi="Arial" w:cs="Arial"/>
        </w:rPr>
        <w:t xml:space="preserve">O fornecimento/execução do objeto licitado terá início após a assinatura deste, expedição de nota de empenho e a emissão da ordem de fornecimento.</w:t>
      </w:r>
      <w:r/>
    </w:p>
    <w:p w14:paraId="5ABAF15F" w14:textId="77777777">
      <w:pPr>
        <w:pBdr/>
        <w:spacing/>
        <w:ind/>
        <w:jc w:val="both"/>
        <w:rPr>
          <w:rFonts w:ascii="Arial" w:cs="Arial"/>
          <w:b/>
        </w:rPr>
      </w:pPr>
      <w:r>
        <w:rPr>
          <w:rFonts w:ascii="Arial" w:cs="Arial"/>
          <w:b/>
        </w:rPr>
      </w:r>
      <w:r>
        <w:rPr>
          <w:rFonts w:ascii="Arial" w:cs="Arial"/>
          <w:b/>
        </w:rPr>
      </w:r>
    </w:p>
    <w:p w14:paraId="50CAB808" w14:textId="77777777">
      <w:pPr>
        <w:pBdr/>
        <w:spacing/>
        <w:ind/>
        <w:jc w:val="both"/>
        <w:rPr/>
      </w:pPr>
      <w:r>
        <w:rPr>
          <w:rFonts w:ascii="Arial" w:hAnsi="Arial" w:cs="Arial"/>
          <w:b/>
        </w:rPr>
        <w:t xml:space="preserve">CLÁUSULA QUARTA – DAS ESPECIFICAÇÕES E QUANTIDADES DOS PRODUTOS/SERVIÇOS</w:t>
      </w:r>
      <w:r/>
    </w:p>
    <w:p w14:paraId="0C02E1AD" w14:textId="77777777">
      <w:pPr>
        <w:pBdr/>
        <w:spacing/>
        <w:ind/>
        <w:jc w:val="both"/>
        <w:rPr/>
      </w:pPr>
      <w:r>
        <w:rPr>
          <w:rFonts w:ascii="Arial" w:hAnsi="Arial" w:cs="Arial"/>
          <w:b/>
        </w:rPr>
        <w:t xml:space="preserve">4.1. </w:t>
      </w:r>
      <w:r>
        <w:rPr>
          <w:rFonts w:ascii="Arial" w:hAnsi="Arial" w:cs="Arial"/>
        </w:rPr>
        <w:t xml:space="preserve">O objeto licitado deverá ser fornecido conforme as especificações e quantidades licitadas e contratadas, constantes nos documentos da CLÁUSULA PRIMEIRA.</w:t>
      </w:r>
      <w:r>
        <w:rPr>
          <w:rFonts w:ascii="Arial" w:hAnsi="Arial" w:cs="Arial"/>
          <w:b/>
        </w:rPr>
        <w:t xml:space="preserve"> </w:t>
      </w:r>
      <w:r/>
    </w:p>
    <w:p w14:paraId="65986A5C" w14:textId="77777777">
      <w:pPr>
        <w:pBdr/>
        <w:spacing/>
        <w:ind/>
        <w:jc w:val="both"/>
        <w:rPr/>
      </w:pPr>
      <w:r>
        <w:rPr>
          <w:rFonts w:ascii="Arial" w:hAnsi="Arial" w:cs="Arial"/>
          <w:b/>
        </w:rPr>
        <w:t xml:space="preserve">    </w:t>
      </w:r>
      <w:r/>
    </w:p>
    <w:p w14:paraId="23353453" w14:textId="77777777">
      <w:pPr>
        <w:pBdr/>
        <w:spacing/>
        <w:ind/>
        <w:rPr/>
      </w:pPr>
      <w:r>
        <w:rPr>
          <w:rFonts w:ascii="Arial" w:hAnsi="Arial" w:cs="Arial"/>
          <w:b/>
        </w:rPr>
        <w:t xml:space="preserve">CLÁUSULA QUINTA – DAS OBRIGAÇÕES DA CONTRATADA:</w:t>
      </w:r>
      <w:r/>
    </w:p>
    <w:p w14:paraId="4B251304" w14:textId="77777777">
      <w:pPr>
        <w:pBdr/>
        <w:spacing/>
        <w:ind/>
        <w:jc w:val="both"/>
        <w:rPr>
          <w:rFonts w:ascii="Arial" w:cs="Arial"/>
          <w:b/>
        </w:rPr>
      </w:pPr>
      <w:r>
        <w:rPr>
          <w:rFonts w:ascii="Arial" w:cs="Arial"/>
          <w:b/>
        </w:rPr>
      </w:r>
      <w:r>
        <w:rPr>
          <w:rFonts w:ascii="Arial" w:cs="Arial"/>
          <w:b/>
        </w:rPr>
      </w:r>
    </w:p>
    <w:p w14:paraId="68576980" w14:textId="77777777">
      <w:pPr>
        <w:pBdr/>
        <w:spacing/>
        <w:ind/>
        <w:jc w:val="both"/>
        <w:rPr/>
      </w:pPr>
      <w:r>
        <w:rPr>
          <w:rStyle w:val="1229"/>
          <w:rFonts w:ascii="Arial" w:hAnsi="Arial" w:cs="Arial"/>
          <w:b/>
        </w:rPr>
        <w:t xml:space="preserve">5.1.</w:t>
      </w:r>
      <w:r>
        <w:rPr>
          <w:rStyle w:val="1229"/>
          <w:rFonts w:ascii="Arial" w:hAnsi="Arial" w:cs="Arial"/>
        </w:rPr>
        <w:t xml:space="preserve"> Constituem obrigações da Contratada, a</w:t>
      </w:r>
      <w:r>
        <w:rPr>
          <w:rFonts w:ascii="Arial" w:hAnsi="Arial" w:cs="Arial"/>
          <w:lang w:val="pt-PT"/>
        </w:rPr>
        <w:t xml:space="preserve">lém das demais previstas no Termo de Referência</w:t>
      </w:r>
      <w:r>
        <w:rPr>
          <w:rStyle w:val="1229"/>
          <w:rFonts w:ascii="Arial" w:hAnsi="Arial" w:cs="Arial"/>
        </w:rPr>
        <w:t xml:space="preserve">: </w:t>
      </w:r>
      <w:r/>
    </w:p>
    <w:p w14:paraId="7C7746A9" w14:textId="77777777">
      <w:pPr>
        <w:pBdr/>
        <w:spacing/>
        <w:ind/>
        <w:jc w:val="both"/>
        <w:rPr>
          <w:rFonts w:ascii="Arial" w:cs="Arial"/>
        </w:rPr>
      </w:pPr>
      <w:r>
        <w:rPr>
          <w:rFonts w:ascii="Arial" w:cs="Arial"/>
        </w:rPr>
      </w:r>
      <w:r>
        <w:rPr>
          <w:rFonts w:ascii="Arial" w:cs="Arial"/>
        </w:rPr>
      </w:r>
    </w:p>
    <w:p w14:paraId="06DEC892" w14:textId="77777777">
      <w:pPr>
        <w:pBdr/>
        <w:spacing/>
        <w:ind/>
        <w:jc w:val="both"/>
        <w:rPr/>
      </w:pPr>
      <w:r>
        <w:rPr>
          <w:rStyle w:val="1229"/>
          <w:rFonts w:ascii="Arial" w:hAnsi="Arial" w:cs="Arial"/>
          <w:b/>
        </w:rPr>
        <w:t xml:space="preserve">5.2.</w:t>
      </w:r>
      <w:r>
        <w:rPr>
          <w:rStyle w:val="1229"/>
          <w:rFonts w:ascii="Arial" w:hAnsi="Arial" w:cs="Arial"/>
        </w:rPr>
        <w:t xml:space="preserve"> Cumprir o objeto da contratação, realizando os serviços especificados na Cláusula Segunda, conforme disposições contidas na cláusula quarta. </w:t>
      </w:r>
      <w:r/>
    </w:p>
    <w:p w14:paraId="2BC1303A" w14:textId="77777777">
      <w:pPr>
        <w:pBdr/>
        <w:spacing/>
        <w:ind/>
        <w:jc w:val="both"/>
        <w:rPr>
          <w:rFonts w:ascii="Arial" w:cs="Arial"/>
        </w:rPr>
      </w:pPr>
      <w:r>
        <w:rPr>
          <w:rFonts w:ascii="Arial" w:cs="Arial"/>
        </w:rPr>
      </w:r>
      <w:r>
        <w:rPr>
          <w:rFonts w:ascii="Arial" w:cs="Arial"/>
        </w:rPr>
      </w:r>
    </w:p>
    <w:p w14:paraId="2D63FAD6" w14:textId="77777777">
      <w:pPr>
        <w:pBdr/>
        <w:spacing/>
        <w:ind/>
        <w:jc w:val="both"/>
        <w:rPr/>
      </w:pPr>
      <w:r>
        <w:rPr>
          <w:rStyle w:val="1229"/>
          <w:rFonts w:ascii="Arial" w:hAnsi="Arial" w:cs="Arial"/>
          <w:b/>
        </w:rPr>
        <w:t xml:space="preserve">5.3.</w:t>
      </w:r>
      <w:r>
        <w:rPr>
          <w:rStyle w:val="1229"/>
          <w:rFonts w:ascii="Arial" w:hAnsi="Arial" w:cs="Arial"/>
        </w:rPr>
        <w:t xml:space="preserve"> Cumprir todas as leis e posturas federais, estaduais e municipais pertinentes e responsabilizar-se por todos os prejuízos decorrentes de infrações a que houver dado causa. </w:t>
      </w:r>
      <w:r/>
    </w:p>
    <w:p w14:paraId="6F9AAE71" w14:textId="77777777">
      <w:pPr>
        <w:pBdr/>
        <w:spacing/>
        <w:ind/>
        <w:jc w:val="both"/>
        <w:rPr>
          <w:rFonts w:ascii="Arial" w:cs="Arial"/>
        </w:rPr>
      </w:pPr>
      <w:r>
        <w:rPr>
          <w:rFonts w:ascii="Arial" w:cs="Arial"/>
        </w:rPr>
      </w:r>
      <w:r>
        <w:rPr>
          <w:rFonts w:ascii="Arial" w:cs="Arial"/>
        </w:rPr>
      </w:r>
    </w:p>
    <w:p w14:paraId="1C2328ED" w14:textId="77777777">
      <w:pPr>
        <w:pBdr/>
        <w:spacing/>
        <w:ind/>
        <w:jc w:val="both"/>
        <w:rPr/>
      </w:pPr>
      <w:r>
        <w:rPr>
          <w:rStyle w:val="1229"/>
          <w:rFonts w:ascii="Arial" w:hAnsi="Arial" w:cs="Arial"/>
          <w:b/>
        </w:rPr>
        <w:t xml:space="preserve">5.4.</w:t>
      </w:r>
      <w:r>
        <w:rPr>
          <w:rStyle w:val="1229"/>
          <w:rFonts w:ascii="Arial" w:hAnsi="Arial" w:cs="Arial"/>
        </w:rPr>
        <w:t xml:space="preserve"> Assumir, com exclusividade, todos os tributos, impostos e taxas que forem devidos em decorrência do objet</w:t>
      </w:r>
      <w:r>
        <w:rPr>
          <w:rStyle w:val="1229"/>
          <w:rFonts w:ascii="Arial" w:hAnsi="Arial" w:cs="Arial"/>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1229"/>
          <w:rFonts w:ascii="Arial" w:hAnsi="Arial" w:cs="Arial"/>
          <w:b/>
        </w:rPr>
        <w:t xml:space="preserve">CONTRATANTE</w:t>
      </w:r>
      <w:r>
        <w:rPr>
          <w:rStyle w:val="1229"/>
          <w:rFonts w:ascii="Arial" w:hAnsi="Arial" w:cs="Arial"/>
        </w:rPr>
        <w:t xml:space="preserve">. </w:t>
      </w:r>
      <w:r/>
    </w:p>
    <w:p w14:paraId="0BE5D9F4" w14:textId="77777777">
      <w:pPr>
        <w:pBdr/>
        <w:spacing/>
        <w:ind/>
        <w:jc w:val="both"/>
        <w:rPr>
          <w:rFonts w:ascii="Arial" w:cs="Arial"/>
        </w:rPr>
      </w:pPr>
      <w:r>
        <w:rPr>
          <w:rFonts w:ascii="Arial" w:cs="Arial"/>
        </w:rPr>
      </w:r>
      <w:r>
        <w:rPr>
          <w:rFonts w:ascii="Arial" w:cs="Arial"/>
        </w:rPr>
      </w:r>
    </w:p>
    <w:p w14:paraId="0BE70E8E" w14:textId="77777777">
      <w:pPr>
        <w:pBdr/>
        <w:spacing/>
        <w:ind/>
        <w:jc w:val="both"/>
        <w:rPr/>
      </w:pPr>
      <w:r>
        <w:rPr>
          <w:rStyle w:val="1229"/>
          <w:rFonts w:ascii="Arial" w:hAnsi="Arial" w:cs="Arial"/>
          <w:b/>
        </w:rPr>
        <w:t xml:space="preserve">5.5.</w:t>
      </w:r>
      <w:r>
        <w:rPr>
          <w:rStyle w:val="1229"/>
          <w:rFonts w:ascii="Arial" w:hAnsi="Arial" w:cs="Arial"/>
        </w:rPr>
        <w:t xml:space="preserve"> Aceitar, nas mesmas condições contratuais, os acréscimos ou supressões que se fizerem, no objeto deste instrumento de até 25% (vinte e cinco por cento) do valor inicial atualizado da contratação. </w:t>
      </w:r>
      <w:r/>
    </w:p>
    <w:p w14:paraId="3A2617CE" w14:textId="77777777">
      <w:pPr>
        <w:pBdr/>
        <w:spacing/>
        <w:ind/>
        <w:jc w:val="both"/>
        <w:rPr>
          <w:rFonts w:ascii="Arial" w:cs="Arial"/>
          <w:b/>
        </w:rPr>
      </w:pPr>
      <w:r>
        <w:rPr>
          <w:rFonts w:ascii="Arial" w:cs="Arial"/>
          <w:b/>
        </w:rPr>
      </w:r>
      <w:r>
        <w:rPr>
          <w:rFonts w:ascii="Arial" w:cs="Arial"/>
          <w:b/>
        </w:rPr>
      </w:r>
    </w:p>
    <w:p w14:paraId="626C18D8" w14:textId="77777777">
      <w:pPr>
        <w:pBdr/>
        <w:spacing/>
        <w:ind/>
        <w:jc w:val="both"/>
        <w:rPr/>
      </w:pPr>
      <w:r>
        <w:rPr>
          <w:rStyle w:val="1229"/>
          <w:rFonts w:ascii="Arial" w:hAnsi="Arial" w:cs="Arial"/>
          <w:b/>
        </w:rPr>
        <w:t xml:space="preserve">5.6.</w:t>
      </w:r>
      <w:r>
        <w:rPr>
          <w:rStyle w:val="1229"/>
          <w:rFonts w:ascii="Arial" w:hAnsi="Arial" w:cs="Arial"/>
        </w:rPr>
        <w:t xml:space="preserve"> Responder perante a </w:t>
      </w:r>
      <w:r>
        <w:rPr>
          <w:rStyle w:val="1229"/>
          <w:rFonts w:ascii="Arial" w:hAnsi="Arial" w:cs="Arial"/>
          <w:b/>
        </w:rPr>
        <w:t xml:space="preserve">CONTRATANTE</w:t>
      </w:r>
      <w:r>
        <w:rPr>
          <w:rStyle w:val="1229"/>
          <w:rFonts w:ascii="Arial" w:hAnsi="Arial" w:cs="Arial"/>
        </w:rPr>
        <w:t xml:space="preserve"> e terceiros por eventuais prejuízos e danos decorrentes de sua demora ou de sua omissão, na condução do objeto deste instrumento sob a sua responsabilidade ou por erro relativo à sua execução. </w:t>
      </w:r>
      <w:r/>
    </w:p>
    <w:p w14:paraId="6801FC98" w14:textId="77777777">
      <w:pPr>
        <w:pBdr/>
        <w:spacing/>
        <w:ind/>
        <w:jc w:val="both"/>
        <w:rPr>
          <w:rFonts w:ascii="Arial" w:cs="Arial"/>
        </w:rPr>
      </w:pPr>
      <w:r>
        <w:rPr>
          <w:rFonts w:ascii="Arial" w:cs="Arial"/>
        </w:rPr>
      </w:r>
      <w:r>
        <w:rPr>
          <w:rFonts w:ascii="Arial" w:cs="Arial"/>
        </w:rPr>
      </w:r>
    </w:p>
    <w:p w14:paraId="2F44432A" w14:textId="77777777">
      <w:pPr>
        <w:pBdr/>
        <w:spacing/>
        <w:ind/>
        <w:jc w:val="both"/>
        <w:rPr/>
      </w:pPr>
      <w:r>
        <w:rPr>
          <w:rStyle w:val="1229"/>
          <w:rFonts w:ascii="Arial" w:hAnsi="Arial" w:cs="Arial"/>
          <w:b/>
        </w:rPr>
        <w:t xml:space="preserve">5.7.</w:t>
      </w:r>
      <w:r>
        <w:rPr>
          <w:rStyle w:val="1229"/>
          <w:rFonts w:ascii="Arial" w:hAnsi="Arial" w:cs="Arial"/>
        </w:rPr>
        <w:t xml:space="preserve"> Responsabilizar-se por quaisquer ônus decorrentes de omissões ou erros na elaboração de estimativa de custos e que redundem em aumento de despesas para o </w:t>
      </w:r>
      <w:r>
        <w:rPr>
          <w:rStyle w:val="1229"/>
          <w:rFonts w:ascii="Arial" w:hAnsi="Arial" w:cs="Arial"/>
          <w:b/>
        </w:rPr>
        <w:t xml:space="preserve">CONTRATANTE</w:t>
      </w:r>
      <w:r>
        <w:rPr>
          <w:rStyle w:val="1229"/>
          <w:rFonts w:ascii="Arial" w:hAnsi="Arial" w:cs="Arial"/>
        </w:rPr>
        <w:t xml:space="preserve">. </w:t>
      </w:r>
      <w:r/>
    </w:p>
    <w:p w14:paraId="68D163F8" w14:textId="77777777">
      <w:pPr>
        <w:pBdr/>
        <w:spacing/>
        <w:ind/>
        <w:jc w:val="both"/>
        <w:rPr>
          <w:rFonts w:ascii="Arial" w:cs="Arial"/>
        </w:rPr>
      </w:pPr>
      <w:r>
        <w:rPr>
          <w:rFonts w:ascii="Arial" w:cs="Arial"/>
        </w:rPr>
      </w:r>
      <w:r>
        <w:rPr>
          <w:rFonts w:ascii="Arial" w:cs="Arial"/>
        </w:rPr>
      </w:r>
    </w:p>
    <w:p w14:paraId="43F50666" w14:textId="77777777">
      <w:pPr>
        <w:pBdr/>
        <w:spacing/>
        <w:ind/>
        <w:jc w:val="both"/>
        <w:rPr/>
      </w:pPr>
      <w:r>
        <w:rPr>
          <w:rStyle w:val="1229"/>
          <w:rFonts w:ascii="Arial" w:hAnsi="Arial" w:cs="Arial"/>
          <w:b/>
        </w:rPr>
        <w:t xml:space="preserve">5.8.</w:t>
      </w:r>
      <w:r>
        <w:rPr>
          <w:rStyle w:val="1229"/>
          <w:rFonts w:ascii="Arial" w:hAnsi="Arial" w:cs="Arial"/>
        </w:rPr>
        <w:t xml:space="preserve"> Responsabilizar-se pelo ônus resultante de quaisquer ações, demandas, custos e despesas decorrentes de danos</w:t>
      </w:r>
      <w:r>
        <w:rPr>
          <w:rStyle w:val="1229"/>
          <w:rFonts w:ascii="Arial" w:hAnsi="Arial" w:cs="Arial"/>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p>
    <w:p w14:paraId="2A0340B6" w14:textId="77777777">
      <w:pPr>
        <w:pBdr/>
        <w:spacing/>
        <w:ind/>
        <w:jc w:val="both"/>
        <w:rPr>
          <w:rFonts w:ascii="Arial" w:cs="Arial"/>
        </w:rPr>
      </w:pPr>
      <w:r>
        <w:rPr>
          <w:rFonts w:ascii="Arial" w:cs="Arial"/>
        </w:rPr>
      </w:r>
      <w:r>
        <w:rPr>
          <w:rFonts w:ascii="Arial" w:cs="Arial"/>
        </w:rPr>
      </w:r>
    </w:p>
    <w:p w14:paraId="59D64ECC" w14:textId="77777777">
      <w:pPr>
        <w:pBdr/>
        <w:spacing/>
        <w:ind/>
        <w:jc w:val="both"/>
        <w:rPr/>
      </w:pPr>
      <w:r>
        <w:rPr>
          <w:rStyle w:val="1229"/>
          <w:rFonts w:ascii="Arial" w:hAnsi="Arial" w:cs="Arial"/>
          <w:b/>
        </w:rPr>
        <w:t xml:space="preserve">5.9.</w:t>
      </w:r>
      <w:r>
        <w:rPr>
          <w:rStyle w:val="1229"/>
          <w:rFonts w:ascii="Arial" w:hAnsi="Arial" w:cs="Arial"/>
        </w:rPr>
        <w:t xml:space="preserve"> Manter-se, durante toda a execução do contrato, em compatibilidade com todas as condições de habilitação e qualificação exigidas na licitação. </w:t>
      </w:r>
      <w:r/>
    </w:p>
    <w:p w14:paraId="0D99C94B" w14:textId="77777777">
      <w:pPr>
        <w:pBdr/>
        <w:spacing/>
        <w:ind/>
        <w:jc w:val="both"/>
        <w:rPr>
          <w:rFonts w:ascii="Arial" w:cs="Arial"/>
        </w:rPr>
      </w:pPr>
      <w:r>
        <w:rPr>
          <w:rFonts w:ascii="Arial" w:cs="Arial"/>
        </w:rPr>
      </w:r>
      <w:r>
        <w:rPr>
          <w:rFonts w:ascii="Arial" w:cs="Arial"/>
        </w:rPr>
      </w:r>
    </w:p>
    <w:p w14:paraId="5FCC0C46" w14:textId="77777777">
      <w:pPr>
        <w:pBdr/>
        <w:spacing/>
        <w:ind/>
        <w:jc w:val="both"/>
        <w:rPr/>
      </w:pPr>
      <w:r>
        <w:rPr>
          <w:rStyle w:val="1229"/>
          <w:rFonts w:ascii="Arial" w:hAnsi="Arial" w:cs="Arial"/>
          <w:b/>
        </w:rPr>
        <w:t xml:space="preserve">5.10.</w:t>
      </w:r>
      <w:r>
        <w:rPr>
          <w:rStyle w:val="1229"/>
          <w:rFonts w:ascii="Arial" w:hAnsi="Arial"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cs="Arial"/>
        </w:rPr>
        <w:t xml:space="preserve"> </w:t>
      </w:r>
      <w:r/>
    </w:p>
    <w:p w14:paraId="31FFC4F4" w14:textId="77777777">
      <w:pPr>
        <w:pBdr/>
        <w:spacing/>
        <w:ind/>
        <w:jc w:val="both"/>
        <w:rPr>
          <w:rFonts w:ascii="Arial" w:cs="Arial"/>
        </w:rPr>
      </w:pPr>
      <w:r>
        <w:rPr>
          <w:rFonts w:ascii="Arial" w:cs="Arial"/>
        </w:rPr>
      </w:r>
      <w:r>
        <w:rPr>
          <w:rFonts w:ascii="Arial" w:cs="Arial"/>
        </w:rPr>
      </w:r>
    </w:p>
    <w:p w14:paraId="3C339138" w14:textId="77777777">
      <w:pPr>
        <w:pBdr/>
        <w:spacing/>
        <w:ind/>
        <w:jc w:val="both"/>
        <w:rPr/>
      </w:pPr>
      <w:r>
        <w:rPr>
          <w:rFonts w:ascii="Arial" w:hAnsi="Arial" w:cs="Arial"/>
          <w:b/>
          <w:lang w:val="pt-PT"/>
        </w:rPr>
        <w:t xml:space="preserve">5.11</w:t>
      </w:r>
      <w:r>
        <w:rPr>
          <w:rFonts w:ascii="Arial" w:hAnsi="Arial" w:cs="Arial"/>
          <w:lang w:val="pt-PT"/>
        </w:rPr>
        <w:t xml:space="preserve">. A </w:t>
      </w:r>
      <w:r>
        <w:rPr>
          <w:rFonts w:ascii="Arial" w:hAnsi="Arial" w:cs="Arial"/>
          <w:b/>
          <w:u w:val="single"/>
          <w:lang w:val="pt-PT"/>
        </w:rPr>
        <w:t xml:space="preserve">CONTRATADA</w:t>
      </w:r>
      <w:r>
        <w:rPr>
          <w:rFonts w:ascii="Arial" w:hAnsi="Arial" w:cs="Arial"/>
          <w:lang w:val="pt-PT"/>
        </w:rPr>
        <w:t xml:space="preserve"> se obriga a permitir que a auditoria interna da </w:t>
      </w:r>
      <w:r>
        <w:rPr>
          <w:rFonts w:ascii="Arial" w:hAnsi="Arial" w:cs="Arial"/>
          <w:b/>
          <w:u w:val="single"/>
          <w:lang w:val="pt-PT"/>
        </w:rPr>
        <w:t xml:space="preserve">CONTRATANTE</w:t>
      </w:r>
      <w:r>
        <w:rPr>
          <w:rFonts w:ascii="Arial" w:hAnsi="Arial" w:cs="Arial"/>
          <w:lang w:val="pt-PT"/>
        </w:rPr>
        <w:t xml:space="preserve"> por ela indicada, tenham acesso a todos os documentos fiscais e contábeis que digam respeito aos serviços fornecidos à </w:t>
      </w:r>
      <w:r>
        <w:rPr>
          <w:rFonts w:ascii="Arial" w:hAnsi="Arial" w:cs="Arial"/>
          <w:b/>
          <w:u w:val="single"/>
          <w:lang w:val="pt-PT"/>
        </w:rPr>
        <w:t xml:space="preserve">CONTRATANTE</w:t>
      </w:r>
      <w:r>
        <w:rPr>
          <w:rFonts w:ascii="Arial" w:cs="Arial"/>
          <w:lang w:val="pt-PT"/>
        </w:rPr>
        <w:t xml:space="preserve">.</w:t>
      </w:r>
      <w:r/>
    </w:p>
    <w:p w14:paraId="2156DD40" w14:textId="77777777">
      <w:pPr>
        <w:pBdr/>
        <w:spacing/>
        <w:ind/>
        <w:jc w:val="both"/>
        <w:rPr>
          <w:rFonts w:ascii="Arial" w:cs="Arial"/>
        </w:rPr>
      </w:pPr>
      <w:r>
        <w:rPr>
          <w:rFonts w:ascii="Arial" w:cs="Arial"/>
        </w:rPr>
      </w:r>
      <w:r>
        <w:rPr>
          <w:rFonts w:ascii="Arial" w:cs="Arial"/>
        </w:rPr>
      </w:r>
    </w:p>
    <w:p w14:paraId="1C7293CE" w14:textId="77777777">
      <w:pPr>
        <w:pBdr/>
        <w:spacing/>
        <w:ind/>
        <w:jc w:val="both"/>
        <w:rPr/>
      </w:pPr>
      <w:r>
        <w:rPr>
          <w:rStyle w:val="1229"/>
          <w:rFonts w:ascii="Arial" w:hAnsi="Arial" w:cs="Arial"/>
          <w:b/>
        </w:rPr>
        <w:t xml:space="preserve">5.12.</w:t>
      </w:r>
      <w:r>
        <w:rPr>
          <w:rStyle w:val="1229"/>
          <w:rFonts w:ascii="Arial" w:hAnsi="Arial" w:cs="Arial"/>
        </w:rPr>
        <w:t xml:space="preserve"> Executar o fornecimento dentro dos padrões estabelecidos, de acordo com a especificação dos serviços, responsabilizando-se por eventuais prejuízos decorrentes do descumprimento de condição estabelecida. </w:t>
      </w:r>
      <w:r/>
    </w:p>
    <w:p w14:paraId="729CF81C" w14:textId="77777777">
      <w:pPr>
        <w:pBdr/>
        <w:spacing/>
        <w:ind/>
        <w:jc w:val="both"/>
        <w:rPr>
          <w:rFonts w:ascii="Arial" w:cs="Arial"/>
        </w:rPr>
      </w:pPr>
      <w:r>
        <w:rPr>
          <w:rFonts w:ascii="Arial" w:cs="Arial"/>
        </w:rPr>
      </w:r>
      <w:r>
        <w:rPr>
          <w:rFonts w:ascii="Arial" w:cs="Arial"/>
        </w:rPr>
      </w:r>
    </w:p>
    <w:p w14:paraId="0AE745CF" w14:textId="77777777">
      <w:pPr>
        <w:pBdr/>
        <w:spacing/>
        <w:ind/>
        <w:jc w:val="both"/>
        <w:rPr/>
      </w:pPr>
      <w:r>
        <w:rPr>
          <w:rFonts w:ascii="Arial" w:hAnsi="Arial" w:cs="Arial"/>
          <w:b/>
        </w:rPr>
        <w:t xml:space="preserve">5.13.</w:t>
      </w:r>
      <w:r>
        <w:rPr>
          <w:rFonts w:ascii="Arial" w:hAnsi="Arial" w:cs="Arial"/>
        </w:rPr>
        <w:t xml:space="preserve"> Cumprir com os prazos de entrega acordados junto à Secretaria solicitante dos materiais;</w:t>
      </w:r>
      <w:r/>
    </w:p>
    <w:p w14:paraId="656DBE95" w14:textId="77777777">
      <w:pPr>
        <w:pBdr/>
        <w:spacing/>
        <w:ind/>
        <w:jc w:val="both"/>
        <w:rPr>
          <w:rFonts w:ascii="Arial" w:cs="Arial"/>
        </w:rPr>
      </w:pPr>
      <w:r>
        <w:rPr>
          <w:rFonts w:ascii="Arial" w:cs="Arial"/>
        </w:rPr>
      </w:r>
      <w:r>
        <w:rPr>
          <w:rFonts w:ascii="Arial" w:cs="Arial"/>
        </w:rPr>
      </w:r>
    </w:p>
    <w:p w14:paraId="3E3556A9" w14:textId="77777777">
      <w:pPr>
        <w:pBdr/>
        <w:spacing/>
        <w:ind/>
        <w:jc w:val="both"/>
        <w:rPr/>
      </w:pPr>
      <w:r>
        <w:rPr>
          <w:rStyle w:val="1229"/>
          <w:rFonts w:ascii="Arial" w:hAnsi="Arial" w:cs="Arial"/>
          <w:b/>
        </w:rPr>
        <w:t xml:space="preserve">5.14</w:t>
      </w:r>
      <w:r>
        <w:rPr>
          <w:rStyle w:val="1229"/>
          <w:rFonts w:ascii="Arial" w:hAnsi="Arial" w:cs="Arial"/>
        </w:rPr>
        <w:t xml:space="preserve">. Realizar as entregas dos serviços/produtos no endereço fornecido pela Secretaria;</w:t>
      </w:r>
      <w:r/>
    </w:p>
    <w:p w14:paraId="1F4A66E4" w14:textId="77777777">
      <w:pPr>
        <w:pBdr/>
        <w:spacing/>
        <w:ind/>
        <w:jc w:val="both"/>
        <w:rPr>
          <w:rFonts w:ascii="Arial" w:cs="Arial"/>
          <w:b/>
        </w:rPr>
      </w:pPr>
      <w:r>
        <w:rPr>
          <w:rFonts w:ascii="Arial" w:cs="Arial"/>
          <w:b/>
        </w:rPr>
      </w:r>
      <w:r>
        <w:rPr>
          <w:rFonts w:ascii="Arial" w:cs="Arial"/>
          <w:b/>
        </w:rPr>
      </w:r>
    </w:p>
    <w:p w14:paraId="0459F5F9" w14:textId="77777777">
      <w:pPr>
        <w:pBdr/>
        <w:spacing/>
        <w:ind/>
        <w:jc w:val="both"/>
        <w:rPr/>
      </w:pPr>
      <w:r>
        <w:rPr>
          <w:rStyle w:val="1229"/>
          <w:rFonts w:ascii="Arial" w:hAnsi="Arial" w:cs="Arial"/>
          <w:b/>
        </w:rPr>
        <w:t xml:space="preserve">5.15.</w:t>
      </w:r>
      <w:r>
        <w:rPr>
          <w:rStyle w:val="1229"/>
          <w:rFonts w:ascii="Arial" w:hAnsi="Arial" w:cs="Arial"/>
        </w:rPr>
        <w:t xml:space="preserve"> Os produtos/serviços que se encontrarem em desconformidade com as condições exigidas, deverão ser substituídos num prazo de acordo termo de referência, a partir da data da solicitação da substituição dos mesmos.</w:t>
      </w:r>
      <w:r>
        <w:rPr>
          <w:rFonts w:ascii="Arial" w:hAnsi="Arial" w:cs="Arial"/>
        </w:rPr>
        <w:t xml:space="preserve"> </w:t>
      </w:r>
      <w:r/>
    </w:p>
    <w:p w14:paraId="0A3E0D54" w14:textId="77777777">
      <w:pPr>
        <w:pBdr/>
        <w:spacing/>
        <w:ind/>
        <w:jc w:val="both"/>
        <w:rPr>
          <w:rFonts w:ascii="Arial" w:cs="Arial"/>
          <w:b/>
        </w:rPr>
      </w:pPr>
      <w:r>
        <w:rPr>
          <w:rFonts w:ascii="Arial" w:cs="Arial"/>
          <w:b/>
        </w:rPr>
      </w:r>
      <w:r>
        <w:rPr>
          <w:rFonts w:ascii="Arial" w:cs="Arial"/>
          <w:b/>
        </w:rPr>
      </w:r>
    </w:p>
    <w:p w14:paraId="09920804" w14:textId="77777777">
      <w:pPr>
        <w:pBdr/>
        <w:spacing/>
        <w:ind/>
        <w:jc w:val="both"/>
        <w:rPr/>
      </w:pPr>
      <w:r>
        <w:rPr>
          <w:rFonts w:ascii="Arial" w:hAnsi="Arial" w:cs="Arial"/>
          <w:b/>
        </w:rPr>
        <w:t xml:space="preserve">5.16.</w:t>
      </w:r>
      <w:r>
        <w:rPr>
          <w:rFonts w:ascii="Arial" w:hAnsi="Arial" w:cs="Arial"/>
        </w:rPr>
        <w:t xml:space="preserve"> Prestar esclarecimentos que forem solicitados pelo Município, cujas reclamações se obriga a atender prontamente, bem como, oferecer</w:t>
      </w:r>
      <w:r>
        <w:rPr>
          <w:rFonts w:ascii="Arial" w:hAnsi="Arial" w:cs="Arial"/>
          <w:lang w:val="pt-PT"/>
        </w:rPr>
        <w:t xml:space="preserve"> condições para a mais ampla </w:t>
      </w:r>
      <w:r>
        <w:rPr>
          <w:rFonts w:ascii="Arial" w:hAnsi="Arial" w:cs="Arial"/>
          <w:lang w:val="pt-PT"/>
        </w:rPr>
        <w:t xml:space="preserve">e completa fiscalização, durante a vigência deste Contrato, bem como de seu (s) aditivo (s), propiciando o acesso à toda documentação pertinente (s) ao (s) fornecimento (s) dos produtos, atendendo às observações e exigências apresentadas pela fiscalização.</w:t>
      </w:r>
      <w:r/>
    </w:p>
    <w:p w14:paraId="424A3348" w14:textId="77777777">
      <w:pPr>
        <w:pBdr/>
        <w:spacing/>
        <w:ind/>
        <w:jc w:val="both"/>
        <w:rPr>
          <w:rFonts w:ascii="Arial" w:cs="Arial"/>
        </w:rPr>
      </w:pPr>
      <w:r>
        <w:rPr>
          <w:rFonts w:ascii="Arial" w:cs="Arial"/>
        </w:rPr>
      </w:r>
      <w:r>
        <w:rPr>
          <w:rFonts w:ascii="Arial" w:cs="Arial"/>
        </w:rPr>
      </w:r>
    </w:p>
    <w:p w14:paraId="339E22FB" w14:textId="77777777">
      <w:pPr>
        <w:pBdr/>
        <w:spacing/>
        <w:ind/>
        <w:jc w:val="both"/>
        <w:rPr/>
      </w:pPr>
      <w:r>
        <w:rPr>
          <w:rFonts w:ascii="Arial" w:hAnsi="Arial" w:cs="Arial"/>
          <w:b/>
        </w:rPr>
        <w:t xml:space="preserve">5.17.</w:t>
      </w:r>
      <w:r>
        <w:rPr>
          <w:rFonts w:ascii="Arial" w:hAnsi="Arial" w:cs="Arial"/>
        </w:rPr>
        <w:t xml:space="preserve"> A contratada se responsabilizará pela substituição dos produtos/serviços entregues/executados</w:t>
      </w:r>
      <w:r>
        <w:rPr>
          <w:rFonts w:ascii="Arial" w:hAnsi="Arial" w:cs="Arial"/>
          <w:b/>
        </w:rPr>
        <w:t xml:space="preserve"> </w:t>
      </w:r>
      <w:r>
        <w:rPr>
          <w:rFonts w:ascii="Arial" w:hAnsi="Arial" w:cs="Arial"/>
        </w:rPr>
        <w:t xml:space="preserve">em que forem constatados defeitos de fabricação ou que se encontrarem em desacordo com as especificações constantes deste Edital e seus anexos, isentando este Município de quaisquer ônus financeiros adicionais;</w:t>
      </w:r>
      <w:r/>
    </w:p>
    <w:p w14:paraId="54B0B825" w14:textId="77777777">
      <w:pPr>
        <w:pBdr/>
        <w:spacing/>
        <w:ind/>
        <w:jc w:val="both"/>
        <w:rPr>
          <w:rFonts w:ascii="Arial" w:cs="Arial"/>
        </w:rPr>
      </w:pPr>
      <w:r>
        <w:rPr>
          <w:rFonts w:ascii="Arial" w:cs="Arial"/>
        </w:rPr>
      </w:r>
      <w:r>
        <w:rPr>
          <w:rFonts w:ascii="Arial" w:cs="Arial"/>
        </w:rPr>
      </w:r>
    </w:p>
    <w:p w14:paraId="1A954FCA" w14:textId="77777777">
      <w:pPr>
        <w:pBdr/>
        <w:spacing/>
        <w:ind/>
        <w:jc w:val="both"/>
        <w:rPr>
          <w:rFonts w:ascii="Arial" w:hAnsi="Arial" w:cs="Arial"/>
        </w:rPr>
      </w:pPr>
      <w:r>
        <w:rPr>
          <w:rFonts w:ascii="Arial" w:hAnsi="Arial" w:cs="Arial"/>
          <w:b/>
        </w:rPr>
        <w:t xml:space="preserve">5.18. </w:t>
      </w:r>
      <w:r>
        <w:rPr>
          <w:rFonts w:ascii="Arial" w:hAnsi="Arial" w:cs="Arial"/>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rPr>
          <w:rFonts w:ascii="Arial" w:hAnsi="Arial" w:cs="Arial"/>
        </w:rPr>
      </w:r>
    </w:p>
    <w:p w14:paraId="6D22C4E2" w14:textId="77777777">
      <w:pPr>
        <w:pStyle w:val="875"/>
        <w:pBdr/>
        <w:spacing/>
        <w:ind/>
        <w:jc w:val="both"/>
        <w:rPr>
          <w:rFonts w:eastAsia="Times New Roman"/>
          <w:sz w:val="20"/>
          <w:szCs w:val="20"/>
        </w:rPr>
      </w:pPr>
      <w:r>
        <w:rPr>
          <w:rStyle w:val="886"/>
          <w:rFonts w:cs="Arial"/>
          <w:sz w:val="20"/>
          <w:szCs w:val="20"/>
        </w:rPr>
        <w:t xml:space="preserve">5.19 – Do Cumprimento dos Prazos de Implementação e Operacionalização do Sistema</w:t>
      </w:r>
      <w:r>
        <w:rPr>
          <w:rFonts w:eastAsia="Times New Roman"/>
          <w:sz w:val="20"/>
          <w:szCs w:val="20"/>
        </w:rPr>
      </w:r>
    </w:p>
    <w:p w14:paraId="03F11018" w14:textId="59760218">
      <w:pPr>
        <w:pStyle w:val="905"/>
        <w:pBdr/>
        <w:spacing/>
        <w:ind/>
        <w:jc w:val="both"/>
        <w:rPr>
          <w:color w:val="ee0000"/>
        </w:rPr>
      </w:pPr>
      <w:r>
        <w:rPr>
          <w:rFonts w:ascii="Arial" w:hAnsi="Arial" w:cs="Arial"/>
          <w:sz w:val="20"/>
          <w:szCs w:val="20"/>
        </w:rPr>
        <w:t xml:space="preserve">5.19.1. A CONTRATADA obriga-se a cumprir rigorosamente os prazos estabelecidos no </w:t>
      </w:r>
      <w:r>
        <w:rPr>
          <w:rStyle w:val="886"/>
          <w:rFonts w:ascii="Arial" w:hAnsi="Arial" w:cs="Arial"/>
          <w:sz w:val="20"/>
          <w:szCs w:val="20"/>
        </w:rPr>
        <w:t xml:space="preserve">Cronograma dos Serviços</w:t>
      </w:r>
      <w:r>
        <w:rPr>
          <w:rFonts w:ascii="Arial" w:hAnsi="Arial" w:cs="Arial"/>
          <w:sz w:val="20"/>
          <w:szCs w:val="20"/>
        </w:rPr>
        <w:t xml:space="preserve">, disposto no Termo de Referência, sendo de sua inteira responsabilidade</w:t>
      </w:r>
      <w:r>
        <w:rPr>
          <w:rFonts w:ascii="Arial" w:hAnsi="Arial" w:cs="Arial"/>
          <w:sz w:val="20"/>
          <w:szCs w:val="20"/>
        </w:rPr>
        <w:t xml:space="preserve">.</w:t>
      </w:r>
      <w:r>
        <w:rPr>
          <w:color w:val="ee0000"/>
        </w:rPr>
      </w:r>
    </w:p>
    <w:p w14:paraId="5C211E8D" w14:textId="77777777">
      <w:pPr>
        <w:pBdr/>
        <w:spacing/>
        <w:ind/>
        <w:jc w:val="both"/>
        <w:rPr/>
      </w:pPr>
      <w:r>
        <w:rPr>
          <w:rFonts w:ascii="Arial" w:hAnsi="Arial" w:cs="Arial"/>
          <w:b/>
        </w:rPr>
        <w:t xml:space="preserve">CLÁUSULA SEXTA – SUBCONTRATAÇÃO</w:t>
      </w:r>
      <w:r>
        <w:rPr>
          <w:rFonts w:ascii="Arial" w:hAnsi="Arial" w:cs="Arial"/>
        </w:rPr>
        <w:t xml:space="preserve"> </w:t>
      </w:r>
      <w:r/>
    </w:p>
    <w:p w14:paraId="7D9DEA6D" w14:textId="77777777">
      <w:pPr>
        <w:pBdr/>
        <w:spacing/>
        <w:ind/>
        <w:jc w:val="both"/>
        <w:rPr>
          <w:rFonts w:ascii="Arial" w:cs="Arial"/>
          <w:b/>
        </w:rPr>
      </w:pPr>
      <w:r>
        <w:rPr>
          <w:rFonts w:ascii="Arial" w:cs="Arial"/>
          <w:b/>
        </w:rPr>
      </w:r>
      <w:r>
        <w:rPr>
          <w:rFonts w:ascii="Arial" w:cs="Arial"/>
          <w:b/>
        </w:rPr>
      </w:r>
    </w:p>
    <w:p w14:paraId="2E374452" w14:textId="77777777">
      <w:pPr>
        <w:pBdr/>
        <w:spacing/>
        <w:ind/>
        <w:jc w:val="both"/>
        <w:rPr/>
      </w:pPr>
      <w:r>
        <w:rPr>
          <w:rFonts w:ascii="Arial" w:hAnsi="Arial" w:cs="Arial"/>
          <w:b/>
        </w:rPr>
        <w:t xml:space="preserve">6.1.</w:t>
      </w:r>
      <w:r>
        <w:rPr>
          <w:rFonts w:ascii="Arial" w:hAnsi="Arial" w:cs="Arial"/>
        </w:rPr>
        <w:t xml:space="preserve"> É vedada a subcontratação do objeto deste contrato, tendo em vista se tratarem de bens comuns, para compra de materiais de consumo, não havendo a necessidade de subcontratação para cumprimento do objeto</w:t>
      </w:r>
      <w:r/>
    </w:p>
    <w:p w14:paraId="1944C6D9" w14:textId="77777777">
      <w:pPr>
        <w:pBdr/>
        <w:spacing/>
        <w:ind/>
        <w:jc w:val="both"/>
        <w:rPr>
          <w:rFonts w:ascii="Arial" w:cs="Arial"/>
        </w:rPr>
      </w:pPr>
      <w:r>
        <w:rPr>
          <w:rFonts w:ascii="Arial" w:cs="Arial"/>
        </w:rPr>
      </w:r>
      <w:r>
        <w:rPr>
          <w:rFonts w:ascii="Arial" w:cs="Arial"/>
        </w:rPr>
      </w:r>
    </w:p>
    <w:p w14:paraId="7E8D2A20" w14:textId="77777777">
      <w:pPr>
        <w:pBdr/>
        <w:spacing/>
        <w:ind/>
        <w:jc w:val="both"/>
        <w:rPr/>
      </w:pPr>
      <w:r>
        <w:rPr>
          <w:rFonts w:ascii="Arial" w:hAnsi="Arial" w:cs="Arial"/>
          <w:b/>
          <w:color w:val="000000"/>
        </w:rPr>
        <w:t xml:space="preserve">CLÁUSULA SÉTIMA – DA EXECUÇÃO DO CONTRATO E DO RECEBIMENTO DOS PRODUTOS/SERVIÇOS:</w:t>
      </w:r>
      <w:r/>
    </w:p>
    <w:p w14:paraId="08960FC7" w14:textId="77777777">
      <w:pPr>
        <w:pBdr/>
        <w:spacing/>
        <w:ind w:right="-5"/>
        <w:jc w:val="both"/>
        <w:rPr>
          <w:rFonts w:ascii="Arial" w:cs="Arial"/>
          <w:b/>
          <w:color w:val="000000"/>
        </w:rPr>
      </w:pPr>
      <w:r>
        <w:rPr>
          <w:rFonts w:ascii="Arial" w:cs="Arial"/>
          <w:b/>
          <w:color w:val="000000"/>
        </w:rPr>
      </w:r>
      <w:r>
        <w:rPr>
          <w:rFonts w:ascii="Arial" w:cs="Arial"/>
          <w:b/>
          <w:color w:val="000000"/>
        </w:rPr>
      </w:r>
    </w:p>
    <w:p w14:paraId="7FE80C65" w14:textId="77777777">
      <w:pPr>
        <w:pBdr/>
        <w:spacing/>
        <w:ind w:right="-5"/>
        <w:jc w:val="both"/>
        <w:rPr/>
      </w:pPr>
      <w:r>
        <w:rPr>
          <w:rFonts w:ascii="Arial" w:hAnsi="Arial" w:cs="Arial"/>
          <w:b/>
          <w:color w:val="000000"/>
        </w:rPr>
        <w:t xml:space="preserve">7.1.</w:t>
      </w:r>
      <w:r>
        <w:rPr>
          <w:rFonts w:ascii="Arial" w:hAnsi="Arial" w:cs="Arial"/>
          <w:color w:val="000000"/>
        </w:rPr>
        <w:t xml:space="preserve"> A Licitante Contratada se comprometerá a dar total garantia quanto à qualidade do produto/serviço, O qual dever</w:t>
      </w:r>
      <w:r>
        <w:rPr>
          <w:rFonts w:ascii="Arial" w:hAnsi="Arial" w:cs="Arial"/>
          <w:color w:val="000000"/>
        </w:rPr>
        <w:t xml:space="preserve">á obedecer às normas e padrões do INMETRO, atender eficazmente às finalidades que dele naturalmente se espera, conforme determina o Código de Defesa do Consumidor. Os produtos que não atenderem as condições descritas serão automaticamente desclassificados.</w:t>
      </w:r>
      <w:r/>
    </w:p>
    <w:p w14:paraId="04308D5C" w14:textId="77777777">
      <w:pPr>
        <w:pBdr/>
        <w:spacing/>
        <w:ind w:right="-5"/>
        <w:jc w:val="both"/>
        <w:rPr>
          <w:rFonts w:ascii="Arial" w:cs="Arial"/>
        </w:rPr>
      </w:pPr>
      <w:r>
        <w:rPr>
          <w:rFonts w:ascii="Arial" w:cs="Arial"/>
        </w:rPr>
      </w:r>
      <w:r>
        <w:rPr>
          <w:rFonts w:ascii="Arial" w:cs="Arial"/>
        </w:rPr>
      </w:r>
    </w:p>
    <w:p w14:paraId="55ABAFE7" w14:textId="77777777">
      <w:pPr>
        <w:pBdr/>
        <w:spacing/>
        <w:ind/>
        <w:jc w:val="both"/>
        <w:rPr/>
      </w:pPr>
      <w:r>
        <w:rPr>
          <w:rStyle w:val="1229"/>
          <w:rFonts w:ascii="Arial" w:hAnsi="Arial" w:cs="Arial"/>
          <w:b/>
        </w:rPr>
        <w:t xml:space="preserve">7.2.</w:t>
      </w:r>
      <w:r>
        <w:rPr>
          <w:rStyle w:val="1229"/>
          <w:rFonts w:ascii="Arial" w:hAnsi="Arial" w:cs="Arial"/>
        </w:rPr>
        <w:t xml:space="preserve"> A solicitação dos itens será feita pela </w:t>
      </w:r>
      <w:r>
        <w:rPr>
          <w:rStyle w:val="1229"/>
          <w:rFonts w:ascii="Arial" w:hAnsi="Arial" w:cs="Arial"/>
          <w:b/>
        </w:rPr>
        <w:t xml:space="preserve">CONTRATANTE</w:t>
      </w:r>
      <w:r>
        <w:rPr>
          <w:rStyle w:val="1229"/>
          <w:rFonts w:ascii="Arial" w:hAnsi="Arial" w:cs="Arial"/>
        </w:rPr>
        <w:t xml:space="preserve"> à </w:t>
      </w:r>
      <w:r>
        <w:rPr>
          <w:rStyle w:val="1229"/>
          <w:rFonts w:ascii="Arial" w:hAnsi="Arial" w:cs="Arial"/>
          <w:b/>
        </w:rPr>
        <w:t xml:space="preserve">CONTRATADA</w:t>
      </w:r>
      <w:r>
        <w:rPr>
          <w:rStyle w:val="1229"/>
          <w:rFonts w:ascii="Arial" w:hAnsi="Arial" w:cs="Arial"/>
        </w:rPr>
        <w:t xml:space="preserve">, após a assinatura do documento hábil, e de forma parcelada</w:t>
      </w:r>
      <w:r>
        <w:rPr>
          <w:rFonts w:ascii="Arial" w:cs="Arial"/>
        </w:rPr>
        <w:t xml:space="preserve">.</w:t>
      </w:r>
      <w:r/>
    </w:p>
    <w:p w14:paraId="36881493" w14:textId="77777777">
      <w:pPr>
        <w:pBdr/>
        <w:spacing/>
        <w:ind/>
        <w:jc w:val="both"/>
        <w:rPr>
          <w:rFonts w:ascii="Arial" w:cs="Arial"/>
          <w:b/>
        </w:rPr>
      </w:pPr>
      <w:r>
        <w:rPr>
          <w:rFonts w:ascii="Arial" w:cs="Arial"/>
          <w:b/>
        </w:rPr>
      </w:r>
      <w:r>
        <w:rPr>
          <w:rFonts w:ascii="Arial" w:cs="Arial"/>
          <w:b/>
        </w:rPr>
      </w:r>
    </w:p>
    <w:p w14:paraId="1D8A1536" w14:textId="77777777">
      <w:pPr>
        <w:pBdr/>
        <w:spacing/>
        <w:ind w:right="-5"/>
        <w:jc w:val="both"/>
        <w:rPr/>
      </w:pPr>
      <w:r>
        <w:rPr>
          <w:rFonts w:ascii="Arial" w:hAnsi="Arial" w:cs="Arial"/>
          <w:b/>
        </w:rPr>
        <w:t xml:space="preserve">7.3.</w:t>
      </w:r>
      <w:r>
        <w:rPr>
          <w:rFonts w:ascii="Arial" w:hAnsi="Arial" w:cs="Arial"/>
        </w:rPr>
        <w:t xml:space="preserve"> As requisições do Órgão Licitante deverão ser atendidas pela Licitante Vencedora, independentemente da existência de greves deflagradas por quaisquer categorias profissionais relacionadas com o fornecimento.</w:t>
      </w:r>
      <w:r/>
    </w:p>
    <w:p w14:paraId="555C68DF" w14:textId="77777777">
      <w:pPr>
        <w:pBdr/>
        <w:tabs>
          <w:tab w:val="left" w:leader="none" w:pos="2790"/>
        </w:tabs>
        <w:spacing/>
        <w:ind w:right="-5"/>
        <w:jc w:val="both"/>
        <w:rPr/>
      </w:pPr>
      <w:r>
        <w:rPr>
          <w:rFonts w:ascii="Arial" w:cs="Arial"/>
          <w:b/>
        </w:rPr>
        <w:tab/>
      </w:r>
      <w:r/>
    </w:p>
    <w:p w14:paraId="55300BF3" w14:textId="77777777">
      <w:pPr>
        <w:pBdr/>
        <w:spacing/>
        <w:ind w:right="-5"/>
        <w:jc w:val="both"/>
        <w:rPr/>
      </w:pPr>
      <w:r>
        <w:rPr>
          <w:rFonts w:ascii="Arial" w:hAnsi="Arial" w:cs="Arial"/>
          <w:b/>
        </w:rPr>
        <w:t xml:space="preserve">7.4.</w:t>
      </w:r>
      <w:r>
        <w:rPr>
          <w:rFonts w:ascii="Arial" w:hAnsi="Arial" w:cs="Arial"/>
        </w:rPr>
        <w:t xml:space="preserve"> A entrega dos ite</w:t>
      </w:r>
      <w:r>
        <w:rPr>
          <w:rFonts w:ascii="Arial" w:hAnsi="Arial" w:cs="Arial"/>
        </w:rPr>
        <w:t xml:space="preserve">ns deverá ser, no endereço determinado pela contratante, localizado(s) no perímetro urbano do Município de Rondonópolis-MT, mediante a apresentação das solicitações parciais por ordem de fornecimento ou instrumento equivalente emitido pelo Órgão Licitante.</w:t>
      </w:r>
      <w:r/>
    </w:p>
    <w:p w14:paraId="2F475A6C" w14:textId="77777777">
      <w:pPr>
        <w:pBdr/>
        <w:spacing/>
        <w:ind/>
        <w:rPr>
          <w:rFonts w:ascii="Arial" w:cs="Arial"/>
          <w:b/>
        </w:rPr>
      </w:pPr>
      <w:r>
        <w:rPr>
          <w:rFonts w:ascii="Arial" w:cs="Arial"/>
          <w:b/>
        </w:rPr>
      </w:r>
      <w:r>
        <w:rPr>
          <w:rFonts w:ascii="Arial" w:cs="Arial"/>
          <w:b/>
        </w:rPr>
      </w:r>
    </w:p>
    <w:p w14:paraId="5F649F59" w14:textId="77777777">
      <w:pPr>
        <w:pBdr/>
        <w:spacing/>
        <w:ind w:right="-5"/>
        <w:jc w:val="both"/>
        <w:rPr/>
      </w:pPr>
      <w:r>
        <w:rPr>
          <w:rFonts w:ascii="Arial" w:hAnsi="Arial" w:cs="Arial"/>
          <w:b/>
        </w:rPr>
        <w:t xml:space="preserve">7.5.</w:t>
      </w:r>
      <w:r>
        <w:rPr>
          <w:rFonts w:ascii="Arial" w:hAnsi="Arial" w:cs="Arial"/>
        </w:rPr>
        <w:t xml:space="preserve"> Correrão por conta da Licitante vencedora todas as eventuais despesas com: acondicionamento, seguro, transporte, tributos, encargos trabalhistas e previdenciár</w:t>
      </w:r>
      <w:r>
        <w:rPr>
          <w:rFonts w:ascii="Arial" w:hAnsi="Arial" w:cs="Arial"/>
        </w:rPr>
        <w:t xml:space="preserve">ios decorrentes do fornecimento dos itens contratado, devendo os produtos e serviços fornecidos apresentar as características descritas na proposta comercial compatível com as características técnicas exigidas e em conformidade com a legislação específica.</w:t>
      </w:r>
      <w:r/>
    </w:p>
    <w:p w14:paraId="3242096D" w14:textId="77777777">
      <w:pPr>
        <w:pBdr/>
        <w:spacing/>
        <w:ind w:right="-5"/>
        <w:jc w:val="both"/>
        <w:rPr>
          <w:rFonts w:ascii="Arial" w:cs="Arial"/>
        </w:rPr>
      </w:pPr>
      <w:r>
        <w:rPr>
          <w:rFonts w:ascii="Arial" w:cs="Arial"/>
        </w:rPr>
      </w:r>
      <w:r>
        <w:rPr>
          <w:rFonts w:ascii="Arial" w:cs="Arial"/>
        </w:rPr>
      </w:r>
    </w:p>
    <w:p w14:paraId="2A706A40" w14:textId="77777777">
      <w:pPr>
        <w:pBdr/>
        <w:spacing/>
        <w:ind/>
        <w:jc w:val="both"/>
        <w:rPr/>
      </w:pPr>
      <w:r>
        <w:rPr>
          <w:rFonts w:ascii="Arial" w:hAnsi="Arial" w:cs="Arial"/>
          <w:b/>
        </w:rPr>
        <w:t xml:space="preserve">7.6.</w:t>
      </w:r>
      <w:r>
        <w:rPr>
          <w:rFonts w:ascii="Arial" w:hAnsi="Arial" w:cs="Arial"/>
        </w:rPr>
        <w:t xml:space="preserve"> Os produtos/serviços serão recusados no caso de</w:t>
      </w:r>
      <w:r>
        <w:rPr>
          <w:rFonts w:ascii="Arial" w:hAnsi="Arial" w:cs="Arial"/>
        </w:rPr>
        <w:t xml:space="preserve"> densidade fora dos padrões, erro quanto ao produto solicitado, volume menor que o solicitado, contaminação por quaisquer elementos não permitidos em sua composição ou a presença de outras substâncias, em percentuais além dos autorizados em sua composição.</w:t>
      </w:r>
      <w:r/>
    </w:p>
    <w:p w14:paraId="35A8CFF3" w14:textId="77777777">
      <w:pPr>
        <w:pBdr/>
        <w:spacing/>
        <w:ind/>
        <w:jc w:val="both"/>
        <w:rPr>
          <w:rFonts w:ascii="Arial" w:cs="Arial"/>
        </w:rPr>
      </w:pPr>
      <w:r>
        <w:rPr>
          <w:rFonts w:ascii="Arial" w:cs="Arial"/>
        </w:rPr>
      </w:r>
      <w:r>
        <w:rPr>
          <w:rFonts w:ascii="Arial" w:cs="Arial"/>
        </w:rPr>
      </w:r>
    </w:p>
    <w:p w14:paraId="283E67AF" w14:textId="77777777">
      <w:pPr>
        <w:pBdr/>
        <w:spacing/>
        <w:ind/>
        <w:jc w:val="both"/>
        <w:rPr/>
      </w:pPr>
      <w:r>
        <w:rPr>
          <w:rFonts w:ascii="Arial" w:hAnsi="Arial" w:cs="Arial"/>
          <w:b/>
        </w:rPr>
        <w:t xml:space="preserve">7.7.</w:t>
      </w:r>
      <w:r>
        <w:rPr>
          <w:rFonts w:ascii="Arial" w:hAnsi="Arial" w:cs="Arial"/>
        </w:rPr>
        <w:t xml:space="preserve"> O pr</w:t>
      </w:r>
      <w:r>
        <w:rPr>
          <w:rFonts w:ascii="Arial" w:hAnsi="Arial" w:cs="Arial"/>
        </w:rPr>
        <w:t xml:space="preserve">oduto/serviços recusado deverá ser substituído no prazo de acordo termo de referência, contado a partir do recebimento pelo CONTRATADO da formalização da recusa pelo CONTRATANTE, arcando o CONTRATADO com os custos dessa operação, inclusive os de reparação.</w:t>
      </w:r>
      <w:r/>
    </w:p>
    <w:p w14:paraId="7D1C6635" w14:textId="77777777">
      <w:pPr>
        <w:pBdr/>
        <w:spacing/>
        <w:ind w:right="-5"/>
        <w:jc w:val="both"/>
        <w:rPr>
          <w:rFonts w:ascii="Arial" w:cs="Arial"/>
          <w:b/>
        </w:rPr>
      </w:pPr>
      <w:r>
        <w:rPr>
          <w:rFonts w:ascii="Arial" w:cs="Arial"/>
          <w:b/>
        </w:rPr>
      </w:r>
      <w:r>
        <w:rPr>
          <w:rFonts w:ascii="Arial" w:cs="Arial"/>
          <w:b/>
        </w:rPr>
      </w:r>
    </w:p>
    <w:p w14:paraId="458A03F4" w14:textId="77777777">
      <w:pPr>
        <w:pBdr/>
        <w:spacing/>
        <w:ind w:right="-5"/>
        <w:jc w:val="both"/>
        <w:rPr/>
      </w:pPr>
      <w:r>
        <w:rPr>
          <w:rFonts w:ascii="Arial" w:hAnsi="Arial" w:cs="Arial"/>
          <w:b/>
        </w:rPr>
        <w:t xml:space="preserve">7.8.</w:t>
      </w:r>
      <w:r>
        <w:rPr>
          <w:rFonts w:ascii="Arial" w:hAnsi="Arial" w:cs="Arial"/>
        </w:rPr>
        <w:t xml:space="preserve"> Constatadas irregularidades nas entregas do objeto contratual, o Órgão Licitante poderá: </w:t>
      </w:r>
      <w:r/>
    </w:p>
    <w:p w14:paraId="5AC6757D" w14:textId="77777777">
      <w:pPr>
        <w:pBdr/>
        <w:spacing/>
        <w:ind w:right="-5" w:left="426"/>
        <w:jc w:val="both"/>
        <w:rPr>
          <w:rFonts w:ascii="Arial" w:cs="Arial"/>
          <w:b/>
        </w:rPr>
      </w:pPr>
      <w:r>
        <w:rPr>
          <w:rFonts w:ascii="Arial" w:cs="Arial"/>
          <w:b/>
        </w:rPr>
      </w:r>
      <w:r>
        <w:rPr>
          <w:rFonts w:ascii="Arial" w:cs="Arial"/>
          <w:b/>
        </w:rPr>
      </w:r>
    </w:p>
    <w:p w14:paraId="0A96320D" w14:textId="77777777">
      <w:pPr>
        <w:pBdr/>
        <w:spacing/>
        <w:ind w:right="-5" w:left="426"/>
        <w:jc w:val="both"/>
        <w:rPr/>
      </w:pPr>
      <w:r>
        <w:rPr>
          <w:rFonts w:ascii="Arial" w:hAnsi="Arial" w:cs="Arial"/>
          <w:b/>
        </w:rPr>
        <w:t xml:space="preserve">7.8.1.</w:t>
      </w:r>
      <w:r>
        <w:rPr>
          <w:rFonts w:ascii="Arial" w:hAnsi="Arial" w:cs="Arial"/>
        </w:rPr>
        <w:t xml:space="preserve"> Em relação à especificação técnicas, rejeitá-lo no todo ou em parte, determinando sua substituição, ou rescindindo a contratação, sem prejuízo das penalidades cabíveis; </w:t>
      </w:r>
      <w:r/>
    </w:p>
    <w:p w14:paraId="3F0AD6F1" w14:textId="77777777">
      <w:pPr>
        <w:pStyle w:val="896"/>
        <w:pBdr/>
        <w:spacing w:after="0"/>
        <w:ind/>
        <w:jc w:val="both"/>
        <w:rPr>
          <w:rFonts w:ascii="Arial" w:cs="Arial"/>
          <w:b/>
        </w:rPr>
      </w:pPr>
      <w:r>
        <w:rPr>
          <w:rFonts w:ascii="Arial" w:cs="Arial"/>
          <w:b/>
        </w:rPr>
      </w:r>
      <w:r>
        <w:rPr>
          <w:rFonts w:ascii="Arial" w:cs="Arial"/>
          <w:b/>
        </w:rPr>
      </w:r>
    </w:p>
    <w:p w14:paraId="1DE4BA90" w14:textId="77777777">
      <w:pPr>
        <w:pBdr/>
        <w:spacing/>
        <w:ind/>
        <w:jc w:val="both"/>
        <w:rPr/>
      </w:pPr>
      <w:r>
        <w:rPr>
          <w:rFonts w:ascii="Arial" w:hAnsi="Arial" w:cs="Arial"/>
          <w:b/>
        </w:rPr>
        <w:t xml:space="preserve">7.10.</w:t>
      </w:r>
      <w:r>
        <w:rPr>
          <w:rFonts w:ascii="Arial" w:hAnsi="Arial" w:cs="Arial"/>
        </w:rPr>
        <w:t xml:space="preserve"> </w:t>
      </w:r>
      <w:r>
        <w:rPr>
          <w:rFonts w:ascii="Arial" w:hAnsi="Arial" w:cs="Arial"/>
          <w:b/>
        </w:rPr>
        <w:t xml:space="preserve">O aceite/aprovação do(s) serviços/produto(s) pela(s) Secretaria(s) solicitante(s) não exclui a responsabilidade civil do fornecedor por</w:t>
      </w:r>
      <w:r>
        <w:rPr>
          <w:rFonts w:ascii="Arial" w:hAnsi="Arial" w:cs="Arial"/>
          <w:b/>
        </w:rPr>
        <w:t xml:space="preserve"> vícios de quantidade ou qualidade do(s) serviços/produto(s) ou disparidades com as especificações estabelecidas no Anexo Itens do Pregão, verificadas, posteriormente, garantindo-se ao órgão licitante as faculdades previstas no art. 18 da Lei n.º 8.078/90;</w:t>
      </w:r>
      <w:r/>
    </w:p>
    <w:p w14:paraId="6AD5E613" w14:textId="77777777">
      <w:pPr>
        <w:pBdr/>
        <w:spacing/>
        <w:ind/>
        <w:jc w:val="both"/>
        <w:rPr>
          <w:rFonts w:ascii="Arial" w:cs="Arial"/>
        </w:rPr>
      </w:pPr>
      <w:r>
        <w:rPr>
          <w:rFonts w:ascii="Arial" w:cs="Arial"/>
        </w:rPr>
      </w:r>
      <w:r>
        <w:rPr>
          <w:rFonts w:ascii="Arial" w:cs="Arial"/>
        </w:rPr>
      </w:r>
    </w:p>
    <w:p w14:paraId="2AE856D9" w14:textId="77777777">
      <w:pPr>
        <w:pBdr/>
        <w:spacing/>
        <w:ind w:right="-5"/>
        <w:jc w:val="both"/>
        <w:rPr/>
      </w:pPr>
      <w:r>
        <w:rPr>
          <w:rStyle w:val="1229"/>
          <w:rFonts w:ascii="Arial" w:hAnsi="Arial" w:cs="Arial"/>
          <w:b/>
        </w:rPr>
        <w:t xml:space="preserve">CLÁUSULA OITAVA – DAS OBRIGAÇÕES DA CONTRATANTE:</w:t>
      </w:r>
      <w:r/>
    </w:p>
    <w:p w14:paraId="2E5884B2" w14:textId="77777777">
      <w:pPr>
        <w:pBdr/>
        <w:spacing/>
        <w:ind w:right="-5"/>
        <w:jc w:val="both"/>
        <w:rPr>
          <w:rFonts w:ascii="Arial" w:cs="Arial"/>
          <w:b/>
        </w:rPr>
      </w:pPr>
      <w:r>
        <w:rPr>
          <w:rFonts w:ascii="Arial" w:cs="Arial"/>
          <w:b/>
        </w:rPr>
      </w:r>
      <w:r>
        <w:rPr>
          <w:rFonts w:ascii="Arial" w:cs="Arial"/>
          <w:b/>
        </w:rPr>
      </w:r>
    </w:p>
    <w:p w14:paraId="14E76D8B" w14:textId="77777777">
      <w:pPr>
        <w:pBdr/>
        <w:spacing/>
        <w:ind w:right="-5"/>
        <w:jc w:val="both"/>
        <w:rPr/>
      </w:pPr>
      <w:r>
        <w:rPr>
          <w:rStyle w:val="1229"/>
          <w:rFonts w:ascii="Arial" w:hAnsi="Arial" w:cs="Arial"/>
          <w:b/>
        </w:rPr>
        <w:t xml:space="preserve">8.1.</w:t>
      </w:r>
      <w:r>
        <w:rPr>
          <w:rStyle w:val="1229"/>
          <w:rFonts w:ascii="Arial" w:hAnsi="Arial" w:cs="Arial"/>
        </w:rPr>
        <w:t xml:space="preserve"> Constituem obrigações da </w:t>
      </w:r>
      <w:r>
        <w:rPr>
          <w:rStyle w:val="1229"/>
          <w:rFonts w:ascii="Arial" w:hAnsi="Arial" w:cs="Arial"/>
          <w:b/>
        </w:rPr>
        <w:t xml:space="preserve">CONTRATANTE</w:t>
      </w:r>
      <w:r>
        <w:rPr>
          <w:rStyle w:val="1229"/>
          <w:rFonts w:ascii="Arial" w:hAnsi="Arial" w:cs="Arial"/>
        </w:rPr>
        <w:t xml:space="preserve">: </w:t>
      </w:r>
      <w:r/>
    </w:p>
    <w:p w14:paraId="0D622EE9" w14:textId="77777777">
      <w:pPr>
        <w:pBdr/>
        <w:spacing/>
        <w:ind w:right="-5"/>
        <w:jc w:val="both"/>
        <w:rPr>
          <w:rFonts w:ascii="Arial" w:cs="Arial"/>
        </w:rPr>
      </w:pPr>
      <w:r>
        <w:rPr>
          <w:rFonts w:ascii="Arial" w:cs="Arial"/>
        </w:rPr>
      </w:r>
      <w:r>
        <w:rPr>
          <w:rFonts w:ascii="Arial" w:cs="Arial"/>
        </w:rPr>
      </w:r>
    </w:p>
    <w:p w14:paraId="0AAE6A14" w14:textId="77777777">
      <w:pPr>
        <w:pBdr/>
        <w:spacing/>
        <w:ind w:right="-5"/>
        <w:jc w:val="both"/>
        <w:rPr/>
      </w:pPr>
      <w:r>
        <w:rPr>
          <w:rStyle w:val="1229"/>
          <w:rFonts w:ascii="Arial" w:hAnsi="Arial" w:cs="Arial"/>
          <w:b/>
        </w:rPr>
        <w:t xml:space="preserve">8.2.</w:t>
      </w:r>
      <w:r>
        <w:rPr>
          <w:rStyle w:val="1229"/>
          <w:rFonts w:ascii="Arial" w:hAnsi="Arial" w:cs="Arial"/>
        </w:rPr>
        <w:t xml:space="preserve"> Cumprir todos os compromissos financeiros assumidos com a contratada, efetuando os pagamentos de acordo com a Cláusula Nona deste Contrato.</w:t>
      </w:r>
      <w:r/>
    </w:p>
    <w:p w14:paraId="6028350A" w14:textId="77777777">
      <w:pPr>
        <w:pBdr/>
        <w:spacing/>
        <w:ind w:right="-5"/>
        <w:jc w:val="both"/>
        <w:rPr>
          <w:rFonts w:ascii="Arial" w:cs="Arial"/>
          <w:b/>
        </w:rPr>
      </w:pPr>
      <w:r>
        <w:rPr>
          <w:rFonts w:ascii="Arial" w:cs="Arial"/>
          <w:b/>
        </w:rPr>
      </w:r>
      <w:r>
        <w:rPr>
          <w:rFonts w:ascii="Arial" w:cs="Arial"/>
          <w:b/>
        </w:rPr>
      </w:r>
    </w:p>
    <w:p w14:paraId="0187AE2F" w14:textId="77777777">
      <w:pPr>
        <w:pBdr/>
        <w:spacing/>
        <w:ind w:right="-5"/>
        <w:jc w:val="both"/>
        <w:rPr/>
      </w:pPr>
      <w:r>
        <w:rPr>
          <w:rStyle w:val="1229"/>
          <w:rFonts w:ascii="Arial" w:hAnsi="Arial" w:cs="Arial"/>
          <w:b/>
        </w:rPr>
        <w:t xml:space="preserve">8.3.</w:t>
      </w:r>
      <w:r>
        <w:rPr>
          <w:rStyle w:val="1229"/>
          <w:rFonts w:ascii="Arial" w:hAnsi="Arial" w:cs="Arial"/>
        </w:rPr>
        <w:t xml:space="preserve"> Fornecer e colocar à disposição da </w:t>
      </w:r>
      <w:r>
        <w:rPr>
          <w:rStyle w:val="1229"/>
          <w:rFonts w:ascii="Arial" w:hAnsi="Arial" w:cs="Arial"/>
          <w:b/>
        </w:rPr>
        <w:t xml:space="preserve">CONTRATADA</w:t>
      </w:r>
      <w:r>
        <w:rPr>
          <w:rStyle w:val="1229"/>
          <w:rFonts w:ascii="Arial" w:hAnsi="Arial" w:cs="Arial"/>
        </w:rPr>
        <w:t xml:space="preserve"> todos os elementos e informações que se fizerem necessários ao efetivo cumprimento do objeto contratado. </w:t>
      </w:r>
      <w:r/>
    </w:p>
    <w:p w14:paraId="4D31E39E" w14:textId="77777777">
      <w:pPr>
        <w:pBdr/>
        <w:spacing/>
        <w:ind w:right="-5"/>
        <w:jc w:val="both"/>
        <w:rPr>
          <w:rFonts w:ascii="Arial" w:cs="Arial"/>
          <w:b/>
        </w:rPr>
      </w:pPr>
      <w:r>
        <w:rPr>
          <w:rFonts w:ascii="Arial" w:cs="Arial"/>
          <w:b/>
        </w:rPr>
      </w:r>
      <w:r>
        <w:rPr>
          <w:rFonts w:ascii="Arial" w:cs="Arial"/>
          <w:b/>
        </w:rPr>
      </w:r>
    </w:p>
    <w:p w14:paraId="0DF5F420" w14:textId="77777777">
      <w:pPr>
        <w:pBdr/>
        <w:spacing/>
        <w:ind w:right="-5"/>
        <w:jc w:val="both"/>
        <w:rPr/>
      </w:pPr>
      <w:r>
        <w:rPr>
          <w:rStyle w:val="1229"/>
          <w:rFonts w:ascii="Arial" w:hAnsi="Arial" w:cs="Arial"/>
          <w:b/>
        </w:rPr>
        <w:t xml:space="preserve">8.4.</w:t>
      </w:r>
      <w:r>
        <w:rPr>
          <w:rStyle w:val="1229"/>
          <w:rFonts w:ascii="Arial" w:hAnsi="Arial" w:cs="Arial"/>
        </w:rPr>
        <w:t xml:space="preserve"> Notificar, formal e tempestivamente, a contratada sobre as irregularidades observadas no cumprimento do objeto.</w:t>
      </w:r>
      <w:r/>
    </w:p>
    <w:p w14:paraId="2FA338C2" w14:textId="77777777">
      <w:pPr>
        <w:pBdr/>
        <w:spacing/>
        <w:ind w:right="-5"/>
        <w:jc w:val="both"/>
        <w:rPr>
          <w:rFonts w:ascii="Arial" w:cs="Arial"/>
        </w:rPr>
      </w:pPr>
      <w:r>
        <w:rPr>
          <w:rFonts w:ascii="Arial" w:cs="Arial"/>
        </w:rPr>
      </w:r>
      <w:r>
        <w:rPr>
          <w:rFonts w:ascii="Arial" w:cs="Arial"/>
        </w:rPr>
      </w:r>
    </w:p>
    <w:p w14:paraId="23C528BE" w14:textId="77777777">
      <w:pPr>
        <w:pBdr/>
        <w:spacing/>
        <w:ind w:right="-5"/>
        <w:jc w:val="both"/>
        <w:rPr/>
      </w:pPr>
      <w:r>
        <w:rPr>
          <w:rStyle w:val="1229"/>
          <w:rFonts w:ascii="Arial" w:hAnsi="Arial" w:cs="Arial"/>
          <w:b/>
        </w:rPr>
        <w:t xml:space="preserve">8.5.</w:t>
      </w:r>
      <w:r>
        <w:rPr>
          <w:rStyle w:val="1229"/>
          <w:rFonts w:ascii="Arial" w:hAnsi="Arial" w:cs="Arial"/>
        </w:rPr>
        <w:t xml:space="preserve"> Notificar a contratada, por escrito e com antecedência, sobre multas, penalidades e quaisquer débitos de sua responsabilidade. </w:t>
      </w:r>
      <w:r/>
    </w:p>
    <w:p w14:paraId="5DB8D8B0" w14:textId="77777777">
      <w:pPr>
        <w:pBdr/>
        <w:spacing/>
        <w:ind w:right="-5"/>
        <w:jc w:val="both"/>
        <w:rPr>
          <w:rFonts w:ascii="Arial" w:cs="Arial"/>
        </w:rPr>
      </w:pPr>
      <w:r>
        <w:rPr>
          <w:rFonts w:ascii="Arial" w:cs="Arial"/>
        </w:rPr>
      </w:r>
      <w:r>
        <w:rPr>
          <w:rFonts w:ascii="Arial" w:cs="Arial"/>
        </w:rPr>
      </w:r>
    </w:p>
    <w:p w14:paraId="175DC5B6" w14:textId="77777777">
      <w:pPr>
        <w:pBdr/>
        <w:spacing/>
        <w:ind w:right="-5"/>
        <w:jc w:val="both"/>
        <w:rPr/>
      </w:pPr>
      <w:r>
        <w:rPr>
          <w:rStyle w:val="1229"/>
          <w:rFonts w:ascii="Arial" w:hAnsi="Arial" w:cs="Arial"/>
          <w:b/>
        </w:rPr>
        <w:t xml:space="preserve">8.6.</w:t>
      </w:r>
      <w:r>
        <w:rPr>
          <w:rStyle w:val="1229"/>
          <w:rFonts w:ascii="Arial" w:hAnsi="Arial" w:cs="Arial"/>
        </w:rPr>
        <w:t xml:space="preserve"> Acompanhar a entrega dos materiais pela contratada, podendo intervir durante a sua entrega, para fins de ajustes ou suspensão do fornecimento. </w:t>
      </w:r>
      <w:r/>
    </w:p>
    <w:p w14:paraId="03768E91" w14:textId="77777777">
      <w:pPr>
        <w:pBdr/>
        <w:spacing/>
        <w:ind/>
        <w:jc w:val="both"/>
        <w:rPr>
          <w:rFonts w:ascii="Arial" w:cs="Arial"/>
          <w:b/>
        </w:rPr>
      </w:pPr>
      <w:r>
        <w:rPr>
          <w:rFonts w:ascii="Arial" w:cs="Arial"/>
          <w:b/>
        </w:rPr>
      </w:r>
      <w:r>
        <w:rPr>
          <w:rFonts w:ascii="Arial" w:cs="Arial"/>
          <w:b/>
        </w:rPr>
      </w:r>
    </w:p>
    <w:p w14:paraId="76481409" w14:textId="77777777">
      <w:pPr>
        <w:pBdr/>
        <w:spacing/>
        <w:ind/>
        <w:jc w:val="both"/>
        <w:rPr/>
      </w:pPr>
      <w:r>
        <w:rPr>
          <w:rFonts w:ascii="Arial" w:hAnsi="Arial" w:cs="Arial"/>
          <w:b/>
        </w:rPr>
        <w:t xml:space="preserve">8.7.</w:t>
      </w:r>
      <w:r>
        <w:rPr>
          <w:rFonts w:ascii="Arial" w:hAnsi="Arial" w:cs="Arial"/>
        </w:rPr>
        <w:t xml:space="preserve"> Fiscalizar a execução do objeto contratual através de sua unidade compe</w:t>
      </w:r>
      <w:r>
        <w:rPr>
          <w:rFonts w:ascii="Arial" w:hAnsi="Arial" w:cs="Arial"/>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p>
    <w:p w14:paraId="4635826C" w14:textId="77777777">
      <w:pPr>
        <w:pBdr/>
        <w:tabs>
          <w:tab w:val="left" w:leader="none" w:pos="1800"/>
        </w:tabs>
        <w:spacing/>
        <w:ind/>
        <w:jc w:val="both"/>
        <w:rPr/>
      </w:pPr>
      <w:r>
        <w:rPr>
          <w:rFonts w:ascii="Arial" w:cs="Arial"/>
        </w:rPr>
        <w:tab/>
      </w:r>
      <w:r/>
    </w:p>
    <w:p w14:paraId="0DD94B78" w14:textId="77777777">
      <w:pPr>
        <w:pBdr/>
        <w:spacing/>
        <w:ind/>
        <w:jc w:val="both"/>
        <w:rPr/>
      </w:pPr>
      <w:r>
        <w:rPr>
          <w:rFonts w:ascii="Arial" w:hAnsi="Arial" w:cs="Arial"/>
          <w:b/>
        </w:rPr>
        <w:t xml:space="preserve">8.7.1. </w:t>
      </w:r>
      <w:r>
        <w:rPr>
          <w:rFonts w:ascii="Arial" w:hAnsi="Arial" w:cs="Arial"/>
        </w:rPr>
        <w:t xml:space="preserve">O gestor do contrato (secretário da pasta solicitante dos serviços) deverá nomear, via Portaria Interna e publicar no DIORONDON, o servidor responsável pe</w:t>
      </w:r>
      <w:r>
        <w:rPr>
          <w:rFonts w:ascii="Arial" w:hAnsi="Arial" w:cs="Arial"/>
        </w:rPr>
        <w:t xml:space="preserve">lo acompanhamento e fiscalização da execução do objeto contrato, bem como, o pagamento da nota fiscal referente ao serviço realizado pelo contratado será condicionado à apresentação do relatório do Fiscal do contrato. (conf. Recomendação Técnica nº21/2014)</w:t>
      </w:r>
      <w:r/>
    </w:p>
    <w:p w14:paraId="6430F316" w14:textId="77777777">
      <w:pPr>
        <w:pBdr/>
        <w:spacing/>
        <w:ind/>
        <w:jc w:val="both"/>
        <w:rPr/>
      </w:pPr>
      <w:r>
        <w:rPr>
          <w:rFonts w:ascii="Arial" w:hAnsi="Arial" w:cs="Arial"/>
          <w:b/>
        </w:rPr>
        <w:t xml:space="preserve"> 8.8.</w:t>
      </w:r>
      <w:r>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r/>
    </w:p>
    <w:p w14:paraId="44EA918C" w14:textId="77777777">
      <w:pPr>
        <w:pBdr/>
        <w:spacing/>
        <w:ind w:right="-5"/>
        <w:jc w:val="both"/>
        <w:rPr>
          <w:rFonts w:ascii="Arial" w:cs="Arial"/>
        </w:rPr>
      </w:pPr>
      <w:r>
        <w:rPr>
          <w:rFonts w:ascii="Arial" w:cs="Arial"/>
        </w:rPr>
      </w:r>
      <w:r>
        <w:rPr>
          <w:rFonts w:ascii="Arial" w:cs="Arial"/>
        </w:rPr>
      </w:r>
    </w:p>
    <w:p w14:paraId="75DE79AE" w14:textId="77777777">
      <w:pPr>
        <w:pBdr/>
        <w:spacing/>
        <w:ind/>
        <w:jc w:val="both"/>
        <w:rPr/>
      </w:pPr>
      <w:r>
        <w:rPr>
          <w:rFonts w:ascii="Arial" w:hAnsi="Arial" w:cs="Arial"/>
          <w:b/>
        </w:rPr>
        <w:t xml:space="preserve">8.9.</w:t>
      </w:r>
      <w:r>
        <w:rPr>
          <w:rFonts w:ascii="Arial" w:hAnsi="Arial" w:cs="Arial"/>
        </w:rPr>
        <w:t xml:space="preserve">  Aplicar as sanções administrativas contratuais pertinentes, em caso de inadimplemento; </w:t>
      </w:r>
      <w:r/>
    </w:p>
    <w:p w14:paraId="72EEEF89" w14:textId="77777777">
      <w:pPr>
        <w:pBdr/>
        <w:spacing/>
        <w:ind/>
        <w:jc w:val="both"/>
        <w:rPr>
          <w:rFonts w:ascii="Arial" w:cs="Arial"/>
        </w:rPr>
      </w:pPr>
      <w:r>
        <w:rPr>
          <w:rFonts w:ascii="Arial" w:cs="Arial"/>
        </w:rPr>
      </w:r>
      <w:r>
        <w:rPr>
          <w:rFonts w:ascii="Arial" w:cs="Arial"/>
        </w:rPr>
      </w:r>
    </w:p>
    <w:p w14:paraId="53684731" w14:textId="77777777">
      <w:pPr>
        <w:pBdr/>
        <w:spacing/>
        <w:ind w:right="-5"/>
        <w:jc w:val="both"/>
        <w:rPr/>
      </w:pPr>
      <w:r>
        <w:rPr>
          <w:rFonts w:ascii="Arial" w:hAnsi="Arial" w:cs="Arial"/>
          <w:b/>
        </w:rPr>
        <w:t xml:space="preserve">8.10. </w:t>
      </w:r>
      <w:r>
        <w:rPr>
          <w:rFonts w:ascii="Arial" w:hAnsi="Arial" w:cs="Arial"/>
        </w:rPr>
        <w:t xml:space="preserve"> Rejeitar, no todo ou em parte, os materiais/serviços entregues em desacordo com o contrato; </w:t>
      </w:r>
      <w:r/>
    </w:p>
    <w:p w14:paraId="627FF658" w14:textId="77777777">
      <w:pPr>
        <w:pBdr/>
        <w:spacing/>
        <w:ind w:right="-5"/>
        <w:jc w:val="both"/>
        <w:rPr>
          <w:rFonts w:ascii="Arial" w:cs="Arial"/>
          <w:b/>
        </w:rPr>
      </w:pPr>
      <w:r>
        <w:rPr>
          <w:rFonts w:ascii="Arial" w:cs="Arial"/>
          <w:b/>
        </w:rPr>
      </w:r>
      <w:r>
        <w:rPr>
          <w:rFonts w:ascii="Arial" w:cs="Arial"/>
          <w:b/>
        </w:rPr>
      </w:r>
    </w:p>
    <w:p w14:paraId="621A7C1D" w14:textId="77777777">
      <w:pPr>
        <w:pBdr/>
        <w:spacing/>
        <w:ind/>
        <w:jc w:val="both"/>
        <w:rPr/>
      </w:pPr>
      <w:r>
        <w:rPr>
          <w:rStyle w:val="1229"/>
          <w:rFonts w:ascii="Arial" w:hAnsi="Arial" w:cs="Arial"/>
          <w:b/>
        </w:rPr>
        <w:t xml:space="preserve">CLÁUSULA NONA – DA DOTAÇÃO ORÇAMENTÁRIA: </w:t>
      </w:r>
      <w:r/>
    </w:p>
    <w:p w14:paraId="2D183ED3" w14:textId="77777777">
      <w:pPr>
        <w:pBdr/>
        <w:spacing/>
        <w:ind/>
        <w:jc w:val="both"/>
        <w:rPr>
          <w:rFonts w:ascii="Arial" w:cs="Arial"/>
          <w:b/>
        </w:rPr>
      </w:pPr>
      <w:r>
        <w:rPr>
          <w:rFonts w:ascii="Arial" w:cs="Arial"/>
          <w:b/>
        </w:rPr>
      </w:r>
      <w:r>
        <w:rPr>
          <w:rFonts w:ascii="Arial" w:cs="Arial"/>
          <w:b/>
        </w:rPr>
      </w:r>
    </w:p>
    <w:p w14:paraId="162EF9C6" w14:textId="77777777">
      <w:pPr>
        <w:pBdr/>
        <w:spacing/>
        <w:ind/>
        <w:jc w:val="both"/>
        <w:rPr/>
      </w:pPr>
      <w:r>
        <w:rPr>
          <w:rFonts w:ascii="Arial" w:hAnsi="Arial" w:cs="Arial"/>
          <w:b/>
        </w:rPr>
        <w:t xml:space="preserve">9.1.</w:t>
      </w:r>
      <w:r>
        <w:rPr>
          <w:rFonts w:ascii="Arial" w:hAnsi="Arial" w:cs="Arial"/>
        </w:rPr>
        <w:t xml:space="preserve"> Em licitação para registro de preços não é necessário indicar a dotação orçamentária, que somente será exigida para a formalização do contrato ou outro instrumento hábil. (Art. 299 § 2</w:t>
      </w:r>
      <w:r>
        <w:rPr>
          <w:rFonts w:ascii="Arial" w:hAnsi="Arial" w:cs="Arial"/>
          <w:u w:val="single"/>
          <w:vertAlign w:val="superscript"/>
        </w:rPr>
        <w:t xml:space="preserve">o</w:t>
      </w:r>
      <w:r>
        <w:rPr>
          <w:rFonts w:ascii="Arial" w:cs="Arial"/>
        </w:rPr>
        <w:t xml:space="preserve"> </w:t>
      </w:r>
      <w:r>
        <w:rPr>
          <w:rFonts w:ascii="Arial" w:hAnsi="Arial" w:cs="Arial"/>
        </w:rPr>
        <w:t xml:space="preserve">do Decreto Municipal n.º 11.685, de 18 de setembro de 2023).  </w:t>
      </w:r>
      <w:r/>
    </w:p>
    <w:p w14:paraId="2330E198" w14:textId="77777777">
      <w:pPr>
        <w:pBdr/>
        <w:spacing/>
        <w:ind w:right="-5"/>
        <w:rPr>
          <w:rFonts w:ascii="Arial" w:cs="Arial"/>
          <w:b/>
        </w:rPr>
      </w:pPr>
      <w:r>
        <w:rPr>
          <w:rFonts w:ascii="Arial" w:cs="Arial"/>
          <w:b/>
        </w:rPr>
      </w:r>
      <w:r>
        <w:rPr>
          <w:rFonts w:ascii="Arial" w:cs="Arial"/>
          <w:b/>
        </w:rPr>
      </w:r>
    </w:p>
    <w:p w14:paraId="254B54B2" w14:textId="77777777">
      <w:pPr>
        <w:pBdr/>
        <w:spacing/>
        <w:ind w:right="-5"/>
        <w:rPr/>
      </w:pPr>
      <w:r>
        <w:rPr>
          <w:rFonts w:ascii="Arial" w:hAnsi="Arial" w:cs="Arial"/>
          <w:b/>
        </w:rPr>
        <w:t xml:space="preserve">CLÁUSULA DÉCIMA - DO VALOR E DAS CONDIÇÕES DE PAGAMENTO:</w:t>
      </w:r>
      <w:r/>
    </w:p>
    <w:p w14:paraId="55FCE749" w14:textId="77777777">
      <w:pPr>
        <w:pBdr/>
        <w:spacing/>
        <w:ind w:right="-5"/>
        <w:jc w:val="both"/>
        <w:rPr>
          <w:rFonts w:ascii="Arial" w:cs="Arial"/>
          <w:b/>
        </w:rPr>
      </w:pPr>
      <w:r>
        <w:rPr>
          <w:rFonts w:ascii="Arial" w:cs="Arial"/>
          <w:b/>
        </w:rPr>
      </w:r>
      <w:r>
        <w:rPr>
          <w:rFonts w:ascii="Arial" w:cs="Arial"/>
          <w:b/>
        </w:rPr>
      </w:r>
    </w:p>
    <w:p w14:paraId="6241C551" w14:textId="77777777">
      <w:pPr>
        <w:pBdr/>
        <w:spacing/>
        <w:ind w:right="-5"/>
        <w:jc w:val="both"/>
        <w:rPr/>
      </w:pPr>
      <w:r>
        <w:rPr>
          <w:rFonts w:ascii="Arial" w:hAnsi="Arial" w:cs="Arial"/>
          <w:b/>
        </w:rPr>
        <w:t xml:space="preserve">10.1.</w:t>
      </w:r>
      <w:r>
        <w:rPr>
          <w:rFonts w:ascii="Arial" w:hAnsi="Arial" w:cs="Arial"/>
        </w:rPr>
        <w:t xml:space="preserve"> O valor global do presente Contrato é de </w:t>
      </w:r>
      <w:r>
        <w:rPr>
          <w:rFonts w:ascii="Arial" w:hAnsi="Arial" w:cs="Arial"/>
          <w:b/>
        </w:rPr>
        <w:t xml:space="preserve">R$ XXXXXX (..........................................), </w:t>
      </w:r>
      <w:r>
        <w:rPr>
          <w:rFonts w:ascii="Arial" w:hAnsi="Arial" w:cs="Arial"/>
        </w:rPr>
        <w:t xml:space="preserve">de acordo com a Proposta Comercial da Contratada, a serem pagos, mediante apresentação de nota fiscal, na Tesouraria desta Prefeitura;</w:t>
      </w:r>
      <w:r/>
    </w:p>
    <w:p w14:paraId="103BA08D" w14:textId="77777777">
      <w:pPr>
        <w:pBdr/>
        <w:spacing/>
        <w:ind w:right="-5"/>
        <w:jc w:val="both"/>
        <w:rPr>
          <w:rFonts w:ascii="Arial" w:cs="Arial"/>
          <w:b/>
        </w:rPr>
      </w:pPr>
      <w:r>
        <w:rPr>
          <w:rFonts w:ascii="Arial" w:cs="Arial"/>
          <w:b/>
        </w:rPr>
      </w:r>
      <w:r>
        <w:rPr>
          <w:rFonts w:ascii="Arial" w:cs="Arial"/>
          <w:b/>
        </w:rPr>
      </w:r>
    </w:p>
    <w:p w14:paraId="5A8AF8D1" w14:textId="77777777">
      <w:pPr>
        <w:pBdr/>
        <w:spacing/>
        <w:ind w:right="-5"/>
        <w:jc w:val="both"/>
        <w:rPr/>
      </w:pPr>
      <w:r>
        <w:rPr>
          <w:rStyle w:val="1229"/>
          <w:rFonts w:ascii="Arial" w:hAnsi="Arial" w:cs="Arial"/>
          <w:b/>
        </w:rPr>
        <w:t xml:space="preserve">10.2.</w:t>
      </w:r>
      <w:r>
        <w:rPr>
          <w:rStyle w:val="1229"/>
          <w:rFonts w:ascii="Arial" w:hAnsi="Arial" w:cs="Arial"/>
        </w:rPr>
        <w:t xml:space="preserve"> Nos preços supracitados estão incluídas todas as despesas relativas ao objeto contratado (tributos, seguros, encargos sociais, etc.). </w:t>
      </w:r>
      <w:r/>
    </w:p>
    <w:p w14:paraId="20786197" w14:textId="77777777">
      <w:pPr>
        <w:pBdr/>
        <w:spacing/>
        <w:ind w:right="-5"/>
        <w:jc w:val="both"/>
        <w:rPr>
          <w:rFonts w:ascii="Arial" w:cs="Arial"/>
        </w:rPr>
      </w:pPr>
      <w:r>
        <w:rPr>
          <w:rFonts w:ascii="Arial" w:cs="Arial"/>
        </w:rPr>
      </w:r>
      <w:r>
        <w:rPr>
          <w:rFonts w:ascii="Arial" w:cs="Arial"/>
        </w:rPr>
      </w:r>
    </w:p>
    <w:p w14:paraId="45449467" w14:textId="77777777">
      <w:pPr>
        <w:pBdr/>
        <w:spacing/>
        <w:ind/>
        <w:jc w:val="both"/>
        <w:rPr/>
      </w:pPr>
      <w:r>
        <w:rPr>
          <w:rFonts w:ascii="Arial" w:hAnsi="Arial" w:cs="Arial"/>
          <w:b/>
        </w:rPr>
        <w:t xml:space="preserve">10.3.</w:t>
      </w:r>
      <w:r>
        <w:rPr>
          <w:rFonts w:ascii="Arial" w:hAnsi="Arial" w:cs="Arial"/>
        </w:rPr>
        <w:t xml:space="preserve"> O pagamento será efetuado mediante ordem bancária emitida em favor da empresa contratada, após o recebimento definitivo dos materiais, até </w:t>
      </w:r>
      <w:r>
        <w:rPr>
          <w:rStyle w:val="1229"/>
          <w:rFonts w:ascii="Arial" w:hAnsi="Arial" w:cs="Arial"/>
        </w:rPr>
        <w:t xml:space="preserve">o 30º (trigésimo) dia</w:t>
      </w:r>
      <w:r>
        <w:rPr>
          <w:rFonts w:ascii="Arial" w:hAnsi="Arial" w:cs="Arial"/>
        </w:rPr>
        <w:t xml:space="preserve">,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cs="Arial"/>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p>
    <w:p w14:paraId="72FE163F" w14:textId="77777777">
      <w:pPr>
        <w:pBdr/>
        <w:spacing/>
        <w:ind/>
        <w:jc w:val="both"/>
        <w:rPr>
          <w:rFonts w:ascii="Arial" w:cs="Arial"/>
          <w:b/>
        </w:rPr>
      </w:pPr>
      <w:r>
        <w:rPr>
          <w:rFonts w:ascii="Arial" w:cs="Arial"/>
          <w:b/>
        </w:rPr>
      </w:r>
      <w:r>
        <w:rPr>
          <w:rFonts w:ascii="Arial" w:cs="Arial"/>
          <w:b/>
        </w:rPr>
      </w:r>
    </w:p>
    <w:p w14:paraId="18A85F22" w14:textId="5C9AD254">
      <w:pPr>
        <w:pBdr/>
        <w:spacing/>
        <w:ind/>
        <w:jc w:val="both"/>
        <w:rPr/>
      </w:pPr>
      <w:r>
        <w:rPr>
          <w:rStyle w:val="1229"/>
          <w:rFonts w:ascii="Arial" w:hAnsi="Arial" w:cs="Arial"/>
          <w:b/>
        </w:rPr>
        <w:t xml:space="preserve">10.3.1.</w:t>
      </w:r>
      <w:r>
        <w:rPr>
          <w:rStyle w:val="1229"/>
          <w:rFonts w:ascii="Arial" w:hAnsi="Arial" w:cs="Arial"/>
        </w:rPr>
        <w:t xml:space="preserve"> </w:t>
      </w:r>
      <w:r>
        <w:rPr>
          <w:rFonts w:ascii="Arial" w:hAnsi="Arial" w:cs="Arial"/>
        </w:rPr>
        <w:t xml:space="preserve">Apresentar, junto com a Nota Fiscal, as certidões que comprovem a regularidade com as condições de habilitação e qualificação exigidas na licitação conforme ao disposto no artigo 92 inciso XVI da Lei nº 14.133, de 01 de abril de 2021.</w:t>
      </w:r>
      <w:r/>
    </w:p>
    <w:p w14:paraId="20B065F7" w14:textId="6C9D1912">
      <w:pPr>
        <w:pBdr/>
        <w:spacing w:afterAutospacing="1" w:beforeAutospacing="1"/>
        <w:ind w:left="1134"/>
        <w:jc w:val="both"/>
        <w:rPr/>
      </w:pPr>
      <w:r>
        <w:rPr>
          <w:rFonts w:ascii="Arial" w:hAnsi="Arial" w:cs="Arial"/>
        </w:rPr>
        <w:t xml:space="preserve"> </w:t>
      </w:r>
      <w:r>
        <w:rPr>
          <w:rFonts w:ascii="Arial" w:hAnsi="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rPr>
          <w:rStyle w:val="1229"/>
          <w:rFonts w:ascii="Arial" w:hAnsi="Arial" w:cs="Arial"/>
          <w:b/>
        </w:rPr>
        <w:t xml:space="preserve">10.3.2. </w:t>
      </w:r>
      <w:r>
        <w:rPr>
          <w:rStyle w:val="1229"/>
          <w:rFonts w:ascii="Arial" w:hAnsi="Arial" w:cs="Arial"/>
        </w:rPr>
        <w:t xml:space="preserve">Constatando-se qualquer incorreção na Nota Fiscal, bem como, qualquer outra circunstância que desaconselhe o seu pagamento, o prazo constante no item 10.3 fluirá a partir da respectiva data de regularização. </w:t>
      </w:r>
      <w:r/>
    </w:p>
    <w:p w14:paraId="2A4477A5" w14:textId="77777777">
      <w:pPr>
        <w:pBdr/>
        <w:spacing/>
        <w:ind w:right="-5"/>
        <w:jc w:val="both"/>
        <w:rPr>
          <w:rFonts w:ascii="Arial" w:cs="Arial"/>
          <w:b/>
        </w:rPr>
      </w:pPr>
      <w:r>
        <w:rPr>
          <w:rFonts w:ascii="Arial" w:cs="Arial"/>
          <w:b/>
        </w:rPr>
      </w:r>
      <w:r>
        <w:rPr>
          <w:rFonts w:ascii="Arial" w:cs="Arial"/>
          <w:b/>
        </w:rPr>
      </w:r>
    </w:p>
    <w:p w14:paraId="1FAEB049" w14:textId="77777777">
      <w:pPr>
        <w:pBdr/>
        <w:spacing/>
        <w:ind w:right="-5"/>
        <w:jc w:val="both"/>
        <w:rPr/>
      </w:pPr>
      <w:r>
        <w:rPr>
          <w:rStyle w:val="1229"/>
          <w:rFonts w:ascii="Arial" w:hAnsi="Arial" w:cs="Arial"/>
          <w:b/>
        </w:rPr>
        <w:t xml:space="preserve">10.4.</w:t>
      </w:r>
      <w:r>
        <w:rPr>
          <w:rStyle w:val="1229"/>
          <w:rFonts w:ascii="Arial" w:hAnsi="Arial" w:cs="Arial"/>
        </w:rPr>
        <w:t xml:space="preserve"> Nenhum pagamento será efetuado à Contratada enquanto pendente de liquidação qualquer obrigação, não podendo este fato ensejar direito de reajustamento de preços ou a atualização monetária.</w:t>
      </w:r>
      <w:r/>
    </w:p>
    <w:p w14:paraId="0BADB4F8" w14:textId="77777777">
      <w:pPr>
        <w:pBdr/>
        <w:spacing/>
        <w:ind w:right="-5"/>
        <w:jc w:val="both"/>
        <w:rPr>
          <w:rFonts w:ascii="Arial" w:cs="Arial"/>
          <w:b/>
        </w:rPr>
      </w:pPr>
      <w:r>
        <w:rPr>
          <w:rFonts w:ascii="Arial" w:cs="Arial"/>
          <w:b/>
        </w:rPr>
      </w:r>
      <w:r>
        <w:rPr>
          <w:rFonts w:ascii="Arial" w:cs="Arial"/>
          <w:b/>
        </w:rPr>
      </w:r>
    </w:p>
    <w:p w14:paraId="22043668" w14:textId="77777777">
      <w:pPr>
        <w:pBdr/>
        <w:spacing/>
        <w:ind w:right="-5"/>
        <w:jc w:val="both"/>
        <w:rPr/>
      </w:pPr>
      <w:r>
        <w:rPr>
          <w:rStyle w:val="1229"/>
          <w:rFonts w:ascii="Arial" w:hAnsi="Arial" w:cs="Arial"/>
          <w:b/>
        </w:rPr>
        <w:t xml:space="preserve">10.5.</w:t>
      </w:r>
      <w:r>
        <w:rPr>
          <w:rStyle w:val="1229"/>
          <w:rFonts w:ascii="Arial" w:hAnsi="Arial" w:cs="Arial"/>
        </w:rPr>
        <w:t xml:space="preserve"> Os pagamentos não realizados dentro do prazo, motivados pela CONTRATADA, não serão geradores de direito a reajustamento de preços. </w:t>
      </w:r>
      <w:r/>
    </w:p>
    <w:p w14:paraId="16A802FC" w14:textId="77777777">
      <w:pPr>
        <w:pBdr/>
        <w:spacing/>
        <w:ind w:right="-5"/>
        <w:jc w:val="both"/>
        <w:rPr>
          <w:rFonts w:ascii="Arial" w:cs="Arial"/>
        </w:rPr>
      </w:pPr>
      <w:r>
        <w:rPr>
          <w:rFonts w:ascii="Arial" w:cs="Arial"/>
        </w:rPr>
      </w:r>
      <w:r>
        <w:rPr>
          <w:rFonts w:ascii="Arial" w:cs="Arial"/>
        </w:rPr>
      </w:r>
    </w:p>
    <w:p w14:paraId="468730CC" w14:textId="77777777">
      <w:pPr>
        <w:pBdr/>
        <w:spacing/>
        <w:ind w:right="-5"/>
        <w:jc w:val="both"/>
        <w:rPr/>
      </w:pPr>
      <w:r>
        <w:rPr>
          <w:rFonts w:ascii="Arial" w:hAnsi="Arial" w:cs="Arial"/>
          <w:b/>
        </w:rPr>
        <w:t xml:space="preserve">10.6.</w:t>
      </w:r>
      <w:r>
        <w:rPr>
          <w:rFonts w:ascii="Arial" w:hAnsi="Arial" w:cs="Arial"/>
        </w:rPr>
        <w:t xml:space="preserve"> As notas fiscais deverão estar devidamente atestada (s) pelos Secretários responsáveis pelas Secretarias solicitantes;</w:t>
      </w:r>
      <w:r>
        <w:rPr>
          <w:rFonts w:ascii="Arial" w:hAnsi="Arial" w:cs="Arial"/>
          <w:b/>
          <w:u w:val="single"/>
        </w:rPr>
        <w:t xml:space="preserve"> </w:t>
      </w:r>
      <w:r/>
    </w:p>
    <w:p w14:paraId="4B67E53D" w14:textId="77777777">
      <w:pPr>
        <w:pBdr/>
        <w:spacing/>
        <w:ind w:right="-5"/>
        <w:jc w:val="both"/>
        <w:rPr>
          <w:rFonts w:ascii="Arial" w:cs="Arial"/>
          <w:b/>
        </w:rPr>
      </w:pPr>
      <w:r>
        <w:rPr>
          <w:rFonts w:ascii="Arial" w:cs="Arial"/>
          <w:b/>
        </w:rPr>
      </w:r>
      <w:r>
        <w:rPr>
          <w:rFonts w:ascii="Arial" w:cs="Arial"/>
          <w:b/>
        </w:rPr>
      </w:r>
    </w:p>
    <w:p w14:paraId="6BD23AE9" w14:textId="77777777">
      <w:pPr>
        <w:pBdr/>
        <w:spacing/>
        <w:ind/>
        <w:jc w:val="both"/>
        <w:rPr/>
      </w:pPr>
      <w:r>
        <w:rPr>
          <w:rFonts w:ascii="Arial" w:hAnsi="Arial" w:cs="Arial"/>
          <w:b/>
        </w:rPr>
        <w:t xml:space="preserve">10.7.</w:t>
      </w:r>
      <w:r>
        <w:rPr>
          <w:rFonts w:ascii="Arial" w:hAnsi="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p>
    <w:p w14:paraId="7B2AF01B" w14:textId="77777777">
      <w:pPr>
        <w:pBdr/>
        <w:spacing/>
        <w:ind/>
        <w:jc w:val="both"/>
        <w:rPr>
          <w:rFonts w:ascii="Arial" w:cs="Arial"/>
          <w:b/>
        </w:rPr>
      </w:pPr>
      <w:r>
        <w:rPr>
          <w:rFonts w:ascii="Arial" w:cs="Arial"/>
          <w:b/>
        </w:rPr>
      </w:r>
      <w:r>
        <w:rPr>
          <w:rFonts w:ascii="Arial" w:cs="Arial"/>
          <w:b/>
        </w:rPr>
      </w:r>
    </w:p>
    <w:p w14:paraId="394A3891" w14:textId="77777777">
      <w:pPr>
        <w:pBdr/>
        <w:spacing/>
        <w:ind/>
        <w:jc w:val="both"/>
        <w:rPr/>
      </w:pPr>
      <w:r>
        <w:rPr>
          <w:rFonts w:ascii="Arial" w:hAnsi="Arial" w:cs="Arial"/>
          <w:b/>
        </w:rPr>
        <w:t xml:space="preserve">10.8.</w:t>
      </w:r>
      <w:r>
        <w:rPr>
          <w:rFonts w:ascii="Arial" w:hAnsi="Arial" w:cs="Arial"/>
        </w:rPr>
        <w:t xml:space="preserve"> O Município de Rondonópolis-MT, só autorizará a realização dos pagamentos, se houver por parte do setor requisitante dos produtos/serviços, o necessário ATESTO dos produtos/serviços entregues/executados pela empresa vencedora, no verso da Nota Fiscal.</w:t>
      </w:r>
      <w:r/>
    </w:p>
    <w:p w14:paraId="6F68D6C8" w14:textId="77777777">
      <w:pPr>
        <w:pBdr/>
        <w:spacing/>
        <w:ind/>
        <w:jc w:val="both"/>
        <w:rPr>
          <w:rFonts w:ascii="Arial" w:cs="Arial"/>
        </w:rPr>
      </w:pPr>
      <w:r>
        <w:rPr>
          <w:rFonts w:ascii="Arial" w:cs="Arial"/>
        </w:rPr>
      </w:r>
      <w:r>
        <w:rPr>
          <w:rFonts w:ascii="Arial" w:cs="Arial"/>
        </w:rPr>
      </w:r>
    </w:p>
    <w:p w14:paraId="2404BB22" w14:textId="77777777">
      <w:pPr>
        <w:pBdr/>
        <w:spacing/>
        <w:ind/>
        <w:jc w:val="both"/>
        <w:rPr/>
      </w:pPr>
      <w:r>
        <w:rPr>
          <w:rFonts w:ascii="Arial" w:hAnsi="Arial" w:cs="Arial"/>
          <w:b/>
        </w:rPr>
        <w:t xml:space="preserve">10.9. </w:t>
      </w:r>
      <w:r>
        <w:rPr>
          <w:rFonts w:ascii="Arial" w:hAnsi="Arial" w:cs="Arial"/>
        </w:rPr>
        <w:t xml:space="preserve">Quando do pagamento, será efetuada a retenção tributária prevista na legislação aplicável.</w:t>
      </w:r>
      <w:r/>
    </w:p>
    <w:p w14:paraId="648BC038" w14:textId="77777777">
      <w:pPr>
        <w:pBdr/>
        <w:tabs>
          <w:tab w:val="left" w:leader="none" w:pos="1440"/>
        </w:tabs>
        <w:spacing w:after="120" w:before="120"/>
        <w:ind w:left="708"/>
        <w:jc w:val="both"/>
        <w:rPr/>
      </w:pPr>
      <w:r>
        <w:rPr>
          <w:rFonts w:ascii="Arial" w:hAnsi="Arial" w:cs="Arial"/>
          <w:b/>
        </w:rPr>
        <w:t xml:space="preserve">10.9.1. </w:t>
      </w:r>
      <w:r>
        <w:rPr>
          <w:rFonts w:ascii="Arial" w:hAnsi="Arial" w:cs="Arial"/>
        </w:rPr>
        <w:t xml:space="preserve">A Contratada regularmente optante pelo Simples Nacional, nos termos da Lei Complementar nº 123, de 2006, não sofrerá a retenção tributária quant</w:t>
      </w:r>
      <w:r>
        <w:rPr>
          <w:rFonts w:ascii="Arial" w:hAnsi="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p>
    <w:p w14:paraId="605A1F60" w14:textId="77777777">
      <w:pPr>
        <w:pBdr/>
        <w:spacing/>
        <w:ind/>
        <w:jc w:val="both"/>
        <w:rPr/>
      </w:pPr>
      <w:r>
        <w:rPr>
          <w:rFonts w:ascii="Arial" w:hAnsi="Arial" w:cs="Arial"/>
          <w:b/>
        </w:rPr>
        <w:t xml:space="preserve">10.10.</w:t>
      </w:r>
      <w:r>
        <w:rPr>
          <w:rFonts w:ascii="Arial" w:hAnsi="Arial" w:cs="Arial"/>
        </w:rPr>
        <w:t xml:space="preserve"> A</w:t>
      </w:r>
      <w:r>
        <w:rPr>
          <w:rFonts w:ascii="Arial" w:hAnsi="Arial" w:cs="Arial"/>
        </w:rPr>
        <w:t xml:space="preserve"> liquidação e o pagamento não isentam o contratado das suas responsabilidades e obrigações vinculadas ao fornecimento, especialmente àquelas relacionadas à qualidade e garantia dos produtos/serviços, tampouco implicará aceitação definitiva do fornecimento.</w:t>
      </w:r>
      <w:r/>
    </w:p>
    <w:p w14:paraId="7C728974" w14:textId="77777777">
      <w:pPr>
        <w:pBdr/>
        <w:spacing/>
        <w:ind/>
        <w:jc w:val="both"/>
        <w:rPr>
          <w:rFonts w:ascii="Arial" w:cs="Arial"/>
        </w:rPr>
      </w:pPr>
      <w:r>
        <w:rPr>
          <w:rFonts w:ascii="Arial" w:cs="Arial"/>
        </w:rPr>
      </w:r>
      <w:r>
        <w:rPr>
          <w:rFonts w:ascii="Arial" w:cs="Arial"/>
        </w:rPr>
      </w:r>
    </w:p>
    <w:p w14:paraId="51101057" w14:textId="77777777">
      <w:pPr>
        <w:pBdr/>
        <w:spacing/>
        <w:ind/>
        <w:jc w:val="both"/>
        <w:rPr>
          <w:rFonts w:ascii="Arial" w:hAnsi="Arial" w:cs="Arial"/>
        </w:rPr>
      </w:pPr>
      <w:r>
        <w:rPr>
          <w:rFonts w:ascii="Arial" w:hAnsi="Arial" w:cs="Arial"/>
          <w:b/>
        </w:rPr>
        <w:t xml:space="preserve">10.11.</w:t>
      </w:r>
      <w:r>
        <w:rPr>
          <w:rFonts w:ascii="Arial" w:hAnsi="Arial" w:cs="Arial"/>
        </w:rPr>
        <w:t xml:space="preserve"> As despesas bancárias decorrentes de transferência de valores para outras praças, serão de responsabilidade do contratado.</w:t>
      </w:r>
      <w:r>
        <w:rPr>
          <w:rFonts w:ascii="Arial" w:hAnsi="Arial" w:cs="Arial"/>
        </w:rPr>
      </w:r>
    </w:p>
    <w:p w14:paraId="704FB457" w14:textId="77777777">
      <w:pPr>
        <w:pBdr/>
        <w:spacing/>
        <w:ind/>
        <w:jc w:val="both"/>
        <w:rPr>
          <w:rFonts w:ascii="Arial" w:hAnsi="Arial" w:cs="Arial"/>
        </w:rPr>
      </w:pPr>
      <w:r>
        <w:rPr>
          <w:rFonts w:ascii="Arial" w:hAnsi="Arial" w:cs="Arial"/>
        </w:rPr>
      </w:r>
      <w:r>
        <w:rPr>
          <w:rFonts w:ascii="Arial" w:hAnsi="Arial" w:cs="Arial"/>
        </w:rPr>
      </w:r>
    </w:p>
    <w:p w14:paraId="3CC66C89" w14:textId="77777777">
      <w:pPr>
        <w:pBdr/>
        <w:spacing/>
        <w:ind/>
        <w:jc w:val="both"/>
        <w:rPr>
          <w:rFonts w:ascii="Arial" w:hAnsi="Arial" w:cs="Arial"/>
          <w:color w:val="000000"/>
          <w:lang w:eastAsia="zh-CN"/>
        </w:rPr>
      </w:pPr>
      <w:r>
        <w:rPr>
          <w:rFonts w:ascii="Arial" w:hAnsi="Arial" w:cs="Arial"/>
          <w:b/>
          <w:color w:val="000000"/>
        </w:rPr>
        <w:t xml:space="preserve">10.12.</w:t>
      </w:r>
      <w:r>
        <w:rPr>
          <w:rFonts w:ascii="Arial" w:hAnsi="Arial" w:cs="Arial"/>
          <w:color w:val="000000"/>
        </w:rPr>
        <w:t xml:space="preserve"> </w:t>
      </w:r>
      <w:r>
        <w:rPr>
          <w:rFonts w:ascii="Arial" w:hAnsi="Arial" w:cs="Arial"/>
          <w:color w:val="000000"/>
          <w:lang w:eastAsia="zh-CN"/>
        </w:rPr>
        <w:t xml:space="preserve">Após 30 (trinta) dias da data em que deveria ser efetuado o pagamento das faturas, incidirá sobre o valor faturado atualização monetária com base em índices estabelecido no contrato. </w:t>
      </w:r>
      <w:r>
        <w:rPr>
          <w:rFonts w:ascii="Arial" w:hAnsi="Arial" w:cs="Arial"/>
          <w:color w:val="000000"/>
          <w:lang w:eastAsia="zh-CN"/>
        </w:rPr>
      </w:r>
    </w:p>
    <w:p w14:paraId="233E9239" w14:textId="77777777">
      <w:pPr>
        <w:pBdr/>
        <w:spacing/>
        <w:ind/>
        <w:jc w:val="both"/>
        <w:rPr>
          <w:rFonts w:ascii="Arial" w:hAnsi="Arial" w:cs="Arial"/>
        </w:rPr>
      </w:pPr>
      <w:r>
        <w:rPr>
          <w:rFonts w:ascii="Arial" w:hAnsi="Arial" w:cs="Arial"/>
        </w:rPr>
      </w:r>
      <w:r>
        <w:rPr>
          <w:rFonts w:ascii="Arial" w:hAnsi="Arial" w:cs="Arial"/>
        </w:rPr>
      </w:r>
    </w:p>
    <w:p w14:paraId="327C4F01" w14:textId="77777777">
      <w:pPr>
        <w:pBdr/>
        <w:spacing/>
        <w:ind/>
        <w:jc w:val="both"/>
        <w:rPr>
          <w:b/>
        </w:rPr>
      </w:pPr>
      <w:r>
        <w:rPr>
          <w:rFonts w:ascii="Arial" w:hAnsi="Arial" w:cs="Arial"/>
          <w:b/>
        </w:rPr>
        <w:t xml:space="preserve">10.13. </w:t>
      </w:r>
      <w:r>
        <w:rPr>
          <w:rFonts w:ascii="Arial" w:hAnsi="Arial" w:cs="Arial"/>
          <w:color w:val="000000"/>
          <w:lang w:eastAsia="zh-CN"/>
        </w:rPr>
        <w:t xml:space="preserve">O prazo para liquidação será de 15 (quinze) dias úteis.</w:t>
      </w:r>
      <w:r>
        <w:rPr>
          <w:b/>
        </w:rPr>
      </w:r>
    </w:p>
    <w:p w14:paraId="65EF98FA" w14:textId="77777777">
      <w:pPr>
        <w:pBdr/>
        <w:spacing/>
        <w:ind/>
        <w:jc w:val="both"/>
        <w:rPr>
          <w:rFonts w:ascii="Arial" w:cs="Arial"/>
          <w:b/>
        </w:rPr>
      </w:pPr>
      <w:r>
        <w:rPr>
          <w:rFonts w:ascii="Arial" w:cs="Arial"/>
          <w:b/>
        </w:rPr>
      </w:r>
      <w:r>
        <w:rPr>
          <w:rFonts w:ascii="Arial" w:cs="Arial"/>
          <w:b/>
        </w:rPr>
      </w:r>
    </w:p>
    <w:p w14:paraId="33CC90D4" w14:textId="77777777">
      <w:pPr>
        <w:pBdr/>
        <w:spacing/>
        <w:ind/>
        <w:jc w:val="both"/>
        <w:rPr/>
      </w:pPr>
      <w:r>
        <w:rPr>
          <w:rFonts w:ascii="Arial" w:hAnsi="Arial" w:cs="Arial"/>
          <w:b/>
        </w:rPr>
        <w:t xml:space="preserve">CLÁUSULA DÉCIMA PRIMEIRA - DO REEQUILÍBRIO ECONÕMICO FINANCEIRO</w:t>
      </w:r>
      <w:r/>
    </w:p>
    <w:p w14:paraId="49DCDEF8" w14:textId="77777777">
      <w:pPr>
        <w:pBdr/>
        <w:spacing/>
        <w:ind/>
        <w:jc w:val="both"/>
        <w:rPr>
          <w:rFonts w:ascii="Arial" w:cs="Arial"/>
          <w:b/>
        </w:rPr>
      </w:pPr>
      <w:r>
        <w:rPr>
          <w:rFonts w:ascii="Arial" w:cs="Arial"/>
          <w:b/>
        </w:rPr>
      </w:r>
      <w:r>
        <w:rPr>
          <w:rFonts w:ascii="Arial" w:cs="Arial"/>
          <w:b/>
        </w:rPr>
      </w:r>
    </w:p>
    <w:p w14:paraId="3962B4A6" w14:textId="77777777">
      <w:pPr>
        <w:pBdr/>
        <w:spacing/>
        <w:ind/>
        <w:jc w:val="both"/>
        <w:rPr>
          <w:rFonts w:ascii="Arial" w:hAnsi="Arial" w:cs="Arial"/>
        </w:rPr>
      </w:pPr>
      <w:r>
        <w:rPr>
          <w:rFonts w:ascii="Arial" w:hAnsi="Arial" w:cs="Arial"/>
          <w:b/>
        </w:rPr>
        <w:t xml:space="preserve">11.1.</w:t>
      </w:r>
      <w:r>
        <w:rPr>
          <w:rFonts w:ascii="Arial" w:hAnsi="Arial" w:cs="Arial"/>
        </w:rPr>
        <w:t xml:space="preserve"> Os preços inicialmente contratados são fixos e irreajustáveis pelo prazo de um ano contado da data do orçamento estimado.</w:t>
      </w:r>
      <w:r>
        <w:rPr>
          <w:rFonts w:ascii="Arial" w:hAnsi="Arial" w:cs="Arial"/>
        </w:rPr>
      </w:r>
    </w:p>
    <w:p w14:paraId="1AB91501" w14:textId="77777777">
      <w:pPr>
        <w:pBdr/>
        <w:spacing/>
        <w:ind/>
        <w:jc w:val="both"/>
        <w:rPr>
          <w:rFonts w:ascii="Arial" w:hAnsi="Arial" w:cs="Arial"/>
        </w:rPr>
      </w:pPr>
      <w:r>
        <w:rPr>
          <w:rFonts w:ascii="Arial" w:hAnsi="Arial" w:cs="Arial"/>
        </w:rPr>
      </w:r>
      <w:r>
        <w:rPr>
          <w:rFonts w:ascii="Arial" w:hAnsi="Arial" w:cs="Arial"/>
        </w:rPr>
      </w:r>
    </w:p>
    <w:p w14:paraId="496792E4" w14:textId="77777777">
      <w:pPr>
        <w:pStyle w:val="1316"/>
        <w:widowControl w:val="false"/>
        <w:pBdr/>
        <w:tabs>
          <w:tab w:val="left" w:leader="none" w:pos="426"/>
        </w:tabs>
        <w:spacing/>
        <w:ind/>
        <w:jc w:val="both"/>
        <w:rPr>
          <w:rFonts w:ascii="Arial" w:hAnsi="Arial" w:cs="Arial"/>
          <w:sz w:val="20"/>
          <w:szCs w:val="20"/>
        </w:rPr>
      </w:pPr>
      <w:r>
        <w:rPr>
          <w:rFonts w:ascii="Arial" w:hAnsi="Arial" w:cs="Arial"/>
          <w:b/>
          <w:spacing w:val="-1"/>
          <w:sz w:val="20"/>
          <w:szCs w:val="20"/>
          <w:lang w:eastAsia="pt-BR"/>
        </w:rPr>
        <w:t xml:space="preserve">11.1.1.</w:t>
      </w:r>
      <w:r>
        <w:rPr>
          <w:rFonts w:ascii="Arial" w:hAnsi="Arial" w:cs="Arial"/>
          <w:spacing w:val="-1"/>
          <w:sz w:val="20"/>
          <w:szCs w:val="20"/>
          <w:lang w:eastAsia="pt-BR"/>
        </w:rPr>
        <w:t xml:space="preserve"> 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r>
        <w:rPr>
          <w:rFonts w:ascii="Arial" w:hAnsi="Arial" w:cs="Arial"/>
          <w:sz w:val="20"/>
          <w:szCs w:val="20"/>
        </w:rPr>
      </w:r>
    </w:p>
    <w:p w14:paraId="257B1244" w14:textId="77777777">
      <w:pPr>
        <w:pBdr/>
        <w:spacing/>
        <w:ind/>
        <w:jc w:val="both"/>
        <w:rPr>
          <w:rFonts w:ascii="Arial" w:cs="Arial"/>
        </w:rPr>
      </w:pPr>
      <w:r>
        <w:rPr>
          <w:rFonts w:ascii="Arial" w:cs="Arial"/>
        </w:rPr>
      </w:r>
      <w:r>
        <w:rPr>
          <w:rFonts w:ascii="Arial" w:cs="Arial"/>
        </w:rPr>
      </w:r>
    </w:p>
    <w:p w14:paraId="7D788195" w14:textId="77777777">
      <w:pPr>
        <w:pBdr/>
        <w:spacing/>
        <w:ind/>
        <w:jc w:val="both"/>
        <w:rPr>
          <w:rFonts w:ascii="Arial" w:hAnsi="Arial" w:cs="Arial"/>
        </w:rPr>
      </w:pPr>
      <w:r>
        <w:rPr>
          <w:rFonts w:ascii="Arial" w:hAnsi="Arial" w:cs="Arial"/>
          <w:b/>
        </w:rPr>
        <w:t xml:space="preserve">11.2. </w:t>
      </w:r>
      <w:r>
        <w:rPr>
          <w:rFonts w:ascii="Arial" w:hAnsi="Arial" w:cs="Arial"/>
        </w:rPr>
        <w:t xml:space="preserve">Após o intervalo de um ano, os preços iniciai</w:t>
      </w:r>
      <w:r>
        <w:rPr>
          <w:rFonts w:ascii="Arial" w:hAnsi="Arial" w:cs="Arial"/>
        </w:rPr>
        <w:t xml:space="preserve">s serão reajustados por meio da aplicação do Índice Nacional de Preços ao Consumidor Amplo (IPCA), divulgado pelo Instituto Brasileiro de Geografia e Estatística – IBGE, podendo ser aplicado, para cumprimento do disposto no art. 92 § 3º da Lei 14.133/2021.</w:t>
      </w:r>
      <w:r>
        <w:rPr>
          <w:rFonts w:ascii="Arial" w:hAnsi="Arial" w:cs="Arial"/>
        </w:rPr>
      </w:r>
    </w:p>
    <w:p w14:paraId="13102AE4" w14:textId="77777777">
      <w:pPr>
        <w:pBdr/>
        <w:spacing/>
        <w:ind/>
        <w:jc w:val="both"/>
        <w:rPr>
          <w:rFonts w:ascii="Arial" w:hAnsi="Arial" w:cs="Arial"/>
        </w:rPr>
      </w:pPr>
      <w:r>
        <w:rPr>
          <w:rFonts w:ascii="Arial" w:hAnsi="Arial" w:cs="Arial"/>
        </w:rPr>
      </w:r>
      <w:r>
        <w:rPr>
          <w:rFonts w:ascii="Arial" w:hAnsi="Arial" w:cs="Arial"/>
        </w:rPr>
      </w:r>
    </w:p>
    <w:p w14:paraId="6E4A26BF" w14:textId="77777777">
      <w:pPr>
        <w:pBdr/>
        <w:spacing/>
        <w:ind/>
        <w:jc w:val="both"/>
        <w:rPr>
          <w:rFonts w:ascii="Arial" w:hAnsi="Arial" w:cs="Arial"/>
        </w:rPr>
      </w:pPr>
      <w:r>
        <w:rPr>
          <w:rFonts w:ascii="Arial" w:hAnsi="Arial" w:cs="Arial"/>
          <w:b/>
        </w:rPr>
        <w:t xml:space="preserve">11.3. </w:t>
      </w:r>
      <w:r>
        <w:rPr>
          <w:rFonts w:ascii="Arial" w:hAnsi="Arial" w:cs="Arial"/>
        </w:rPr>
        <w:t xml:space="preserve">Os reajustes deverão ser precedidos de solicitação do contratado, acompanhada de memorial do cálculo.</w:t>
      </w:r>
      <w:r>
        <w:rPr>
          <w:rFonts w:ascii="Arial" w:hAnsi="Arial" w:cs="Arial"/>
        </w:rPr>
      </w:r>
    </w:p>
    <w:p w14:paraId="2DBD56E3" w14:textId="77777777">
      <w:pPr>
        <w:pBdr/>
        <w:spacing/>
        <w:ind/>
        <w:jc w:val="both"/>
        <w:rPr>
          <w:rFonts w:ascii="Arial" w:hAnsi="Arial" w:cs="Arial"/>
        </w:rPr>
      </w:pPr>
      <w:r>
        <w:rPr>
          <w:rFonts w:ascii="Arial" w:hAnsi="Arial" w:cs="Arial"/>
        </w:rPr>
      </w:r>
      <w:r>
        <w:rPr>
          <w:rFonts w:ascii="Arial" w:hAnsi="Arial" w:cs="Arial"/>
        </w:rPr>
      </w:r>
    </w:p>
    <w:p w14:paraId="53BB12B6" w14:textId="77777777">
      <w:pPr>
        <w:pStyle w:val="1391"/>
        <w:pBdr/>
        <w:spacing/>
        <w:ind/>
        <w:jc w:val="both"/>
        <w:rPr>
          <w:rFonts w:ascii="Arial" w:hAnsi="Arial"/>
          <w:sz w:val="20"/>
          <w:szCs w:val="20"/>
        </w:rPr>
      </w:pPr>
      <w:r>
        <w:rPr>
          <w:rFonts w:ascii="Arial" w:hAnsi="Arial"/>
          <w:b/>
          <w:sz w:val="20"/>
          <w:szCs w:val="20"/>
        </w:rPr>
        <w:t xml:space="preserve">11.4. </w:t>
      </w:r>
      <w:r>
        <w:rPr>
          <w:rFonts w:ascii="Arial" w:hAnsi="Arial"/>
          <w:sz w:val="20"/>
          <w:szCs w:val="20"/>
        </w:rPr>
        <w:t xml:space="preserve">Ocorrendo umas das hipóteses previstas na alínea “d” do inciso II do artigo 124 da Lei n. 14</w:t>
      </w:r>
      <w:r>
        <w:rPr>
          <w:rFonts w:ascii="Arial" w:hAnsi="Arial"/>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sz w:val="20"/>
          <w:szCs w:val="20"/>
        </w:rPr>
      </w:r>
    </w:p>
    <w:p w14:paraId="4AC9BE90" w14:textId="77777777">
      <w:pPr>
        <w:pStyle w:val="1391"/>
        <w:pBdr/>
        <w:spacing/>
        <w:ind/>
        <w:jc w:val="both"/>
        <w:rPr>
          <w:rFonts w:ascii="Arial" w:hAnsi="Arial"/>
          <w:sz w:val="20"/>
          <w:szCs w:val="20"/>
        </w:rPr>
      </w:pPr>
      <w:r>
        <w:rPr>
          <w:rFonts w:ascii="Arial" w:hAnsi="Arial"/>
          <w:sz w:val="20"/>
          <w:szCs w:val="20"/>
        </w:rPr>
      </w:r>
      <w:r>
        <w:rPr>
          <w:rFonts w:ascii="Arial" w:hAnsi="Arial"/>
          <w:sz w:val="20"/>
          <w:szCs w:val="20"/>
        </w:rPr>
      </w:r>
    </w:p>
    <w:p w14:paraId="38A06A1D" w14:textId="77777777">
      <w:pPr>
        <w:pStyle w:val="1391"/>
        <w:pBdr/>
        <w:spacing/>
        <w:ind/>
        <w:jc w:val="both"/>
        <w:rPr>
          <w:rFonts w:ascii="Arial" w:hAnsi="Arial"/>
          <w:sz w:val="20"/>
          <w:szCs w:val="20"/>
        </w:rPr>
      </w:pPr>
      <w:r>
        <w:rPr>
          <w:rFonts w:ascii="Arial" w:hAnsi="Arial"/>
          <w:b/>
          <w:sz w:val="20"/>
          <w:szCs w:val="20"/>
        </w:rPr>
        <w:t xml:space="preserve">11.4.1. </w:t>
      </w:r>
      <w:r>
        <w:rPr>
          <w:rFonts w:ascii="Arial" w:hAnsi="Arial"/>
          <w:sz w:val="20"/>
          <w:szCs w:val="20"/>
        </w:rPr>
        <w:t xml:space="preserve">O prazo para resposta para pedido de reajuste e repactuação será de até 30 (trinta) dias úteis.</w:t>
      </w:r>
      <w:r>
        <w:rPr>
          <w:rFonts w:ascii="Arial" w:hAnsi="Arial"/>
          <w:sz w:val="20"/>
          <w:szCs w:val="20"/>
        </w:rPr>
      </w:r>
    </w:p>
    <w:p w14:paraId="7D139F2B" w14:textId="77777777">
      <w:pPr>
        <w:pBdr/>
        <w:spacing/>
        <w:ind/>
        <w:jc w:val="both"/>
        <w:rPr>
          <w:rFonts w:ascii="Arial" w:cs="Arial"/>
        </w:rPr>
      </w:pPr>
      <w:r>
        <w:rPr>
          <w:rFonts w:ascii="Arial" w:cs="Arial"/>
        </w:rPr>
      </w:r>
      <w:r>
        <w:rPr>
          <w:rFonts w:ascii="Arial" w:cs="Arial"/>
        </w:rPr>
      </w:r>
    </w:p>
    <w:p w14:paraId="74CE1D25" w14:textId="77777777">
      <w:pPr>
        <w:pBdr/>
        <w:spacing/>
        <w:ind/>
        <w:jc w:val="both"/>
        <w:rPr>
          <w:rFonts w:ascii="Arial" w:hAnsi="Arial" w:cs="Arial"/>
        </w:rPr>
      </w:pPr>
      <w:r>
        <w:rPr>
          <w:rFonts w:ascii="Arial" w:hAnsi="Arial" w:cs="Arial"/>
          <w:b/>
        </w:rPr>
        <w:t xml:space="preserve">11.5.</w:t>
      </w:r>
      <w:r>
        <w:rPr>
          <w:rFonts w:ascii="Arial" w:hAnsi="Arial" w:cs="Arial"/>
        </w:rPr>
        <w:t xml:space="preserve"> Independentemente do requerimento de reajus</w:t>
      </w:r>
      <w:r>
        <w:rPr>
          <w:rFonts w:ascii="Arial" w:hAnsi="Arial" w:cs="Arial"/>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rPr>
          <w:rFonts w:ascii="Arial" w:hAnsi="Arial" w:cs="Arial"/>
        </w:rPr>
      </w:r>
    </w:p>
    <w:p w14:paraId="2240FD45" w14:textId="77777777">
      <w:pPr>
        <w:pBdr/>
        <w:spacing/>
        <w:ind/>
        <w:jc w:val="both"/>
        <w:rPr>
          <w:rFonts w:ascii="Arial" w:hAnsi="Arial" w:cs="Arial"/>
        </w:rPr>
      </w:pPr>
      <w:r>
        <w:rPr>
          <w:rFonts w:ascii="Arial" w:hAnsi="Arial" w:cs="Arial"/>
        </w:rPr>
      </w:r>
      <w:r>
        <w:rPr>
          <w:rFonts w:ascii="Arial" w:hAnsi="Arial" w:cs="Arial"/>
        </w:rPr>
      </w:r>
    </w:p>
    <w:p w14:paraId="3240F80A" w14:textId="77777777">
      <w:pPr>
        <w:pBdr/>
        <w:spacing/>
        <w:ind/>
        <w:jc w:val="both"/>
        <w:rPr>
          <w:rFonts w:ascii="Arial" w:hAnsi="Arial" w:cs="Arial"/>
        </w:rPr>
      </w:pPr>
      <w:r>
        <w:rPr>
          <w:rFonts w:ascii="Arial" w:hAnsi="Arial" w:cs="Arial"/>
          <w:b/>
        </w:rPr>
        <w:t xml:space="preserve">11.6.</w:t>
      </w:r>
      <w:r>
        <w:rPr>
          <w:rFonts w:ascii="Arial" w:hAnsi="Arial" w:cs="Arial"/>
        </w:rPr>
        <w:t xml:space="preserve"> Nos reajustes subsequentes ao primeiro, o intervalo mínimo de um ano será contado a partir dos efeitos financeiros do último reajuste.</w:t>
      </w:r>
      <w:r>
        <w:rPr>
          <w:rFonts w:ascii="Arial" w:hAnsi="Arial" w:cs="Arial"/>
        </w:rPr>
      </w:r>
    </w:p>
    <w:p w14:paraId="0178656A" w14:textId="77777777">
      <w:pPr>
        <w:pBdr/>
        <w:spacing/>
        <w:ind/>
        <w:jc w:val="both"/>
        <w:rPr>
          <w:rFonts w:ascii="Arial" w:hAnsi="Arial" w:cs="Arial"/>
        </w:rPr>
      </w:pPr>
      <w:r>
        <w:rPr>
          <w:rFonts w:ascii="Arial" w:hAnsi="Arial" w:cs="Arial"/>
        </w:rPr>
      </w:r>
      <w:r>
        <w:rPr>
          <w:rFonts w:ascii="Arial" w:hAnsi="Arial" w:cs="Arial"/>
        </w:rPr>
      </w:r>
    </w:p>
    <w:p w14:paraId="02D73574" w14:textId="77777777">
      <w:pPr>
        <w:pBdr/>
        <w:spacing/>
        <w:ind/>
        <w:jc w:val="both"/>
        <w:rPr>
          <w:rFonts w:ascii="Arial" w:hAnsi="Arial" w:cs="Arial"/>
        </w:rPr>
      </w:pPr>
      <w:r>
        <w:rPr>
          <w:rFonts w:ascii="Arial" w:hAnsi="Arial" w:cs="Arial"/>
          <w:b/>
        </w:rPr>
        <w:t xml:space="preserve">11.7.</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p>
    <w:p w14:paraId="152A617C" w14:textId="77777777">
      <w:pPr>
        <w:pBdr/>
        <w:spacing/>
        <w:ind/>
        <w:jc w:val="both"/>
        <w:rPr>
          <w:rFonts w:ascii="Arial" w:hAnsi="Arial" w:cs="Arial"/>
        </w:rPr>
      </w:pPr>
      <w:r>
        <w:rPr>
          <w:rFonts w:ascii="Arial" w:hAnsi="Arial" w:cs="Arial"/>
        </w:rPr>
      </w:r>
      <w:r>
        <w:rPr>
          <w:rFonts w:ascii="Arial" w:hAnsi="Arial" w:cs="Arial"/>
        </w:rPr>
      </w:r>
    </w:p>
    <w:p w14:paraId="15EA95D2" w14:textId="77777777">
      <w:pPr>
        <w:pBdr/>
        <w:spacing/>
        <w:ind/>
        <w:jc w:val="both"/>
        <w:rPr>
          <w:rFonts w:ascii="Arial" w:hAnsi="Arial" w:cs="Arial"/>
        </w:rPr>
      </w:pPr>
      <w:r>
        <w:rPr>
          <w:rFonts w:ascii="Arial" w:hAnsi="Arial" w:cs="Arial"/>
          <w:b/>
        </w:rPr>
        <w:t xml:space="preserve">11.8</w:t>
      </w:r>
      <w:r>
        <w:rPr>
          <w:rFonts w:ascii="Arial" w:cs="Arial"/>
        </w:rPr>
        <w:t xml:space="preserve">.</w:t>
      </w:r>
      <w:r>
        <w:rPr>
          <w:rFonts w:ascii="Arial" w:hAnsi="Arial" w:cs="Arial"/>
        </w:rPr>
        <w:t xml:space="preserve"> A prorrogação contratual sem a solicitação do reajuste implica a preclusão deste, sem prejuízo dos futuros reajustes nos termos pactuados.</w:t>
      </w:r>
      <w:r>
        <w:rPr>
          <w:rFonts w:ascii="Arial" w:hAnsi="Arial" w:cs="Arial"/>
        </w:rPr>
      </w:r>
    </w:p>
    <w:p w14:paraId="63825438" w14:textId="77777777">
      <w:pPr>
        <w:pBdr/>
        <w:spacing/>
        <w:ind/>
        <w:jc w:val="both"/>
        <w:rPr>
          <w:rFonts w:ascii="Arial" w:hAnsi="Arial" w:cs="Arial"/>
        </w:rPr>
      </w:pPr>
      <w:r>
        <w:rPr>
          <w:rFonts w:ascii="Arial" w:hAnsi="Arial" w:cs="Arial"/>
        </w:rPr>
      </w:r>
      <w:r>
        <w:rPr>
          <w:rFonts w:ascii="Arial" w:hAnsi="Arial" w:cs="Arial"/>
        </w:rPr>
      </w:r>
    </w:p>
    <w:p w14:paraId="19E5D002" w14:textId="77777777">
      <w:pPr>
        <w:pBdr/>
        <w:spacing/>
        <w:ind/>
        <w:jc w:val="both"/>
        <w:rPr>
          <w:rFonts w:ascii="Arial" w:hAnsi="Arial" w:cs="Arial"/>
        </w:rPr>
      </w:pPr>
      <w:r>
        <w:rPr>
          <w:rFonts w:ascii="Arial" w:hAnsi="Arial" w:cs="Arial"/>
          <w:b/>
        </w:rPr>
        <w:t xml:space="preserve">11.9.</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r>
        <w:rPr>
          <w:rFonts w:ascii="Arial" w:hAnsi="Arial" w:cs="Arial"/>
        </w:rPr>
      </w:r>
    </w:p>
    <w:p w14:paraId="2069AEDA" w14:textId="77777777">
      <w:pPr>
        <w:pBdr/>
        <w:spacing/>
        <w:ind/>
        <w:jc w:val="both"/>
        <w:rPr>
          <w:rFonts w:ascii="Arial" w:hAnsi="Arial" w:cs="Arial"/>
        </w:rPr>
      </w:pPr>
      <w:r>
        <w:rPr>
          <w:rFonts w:ascii="Arial" w:hAnsi="Arial" w:cs="Arial"/>
        </w:rPr>
      </w:r>
      <w:r>
        <w:rPr>
          <w:rFonts w:ascii="Arial" w:hAnsi="Arial" w:cs="Arial"/>
        </w:rPr>
      </w:r>
    </w:p>
    <w:p w14:paraId="116597AC" w14:textId="77777777">
      <w:pPr>
        <w:pBdr/>
        <w:spacing/>
        <w:ind/>
        <w:jc w:val="both"/>
        <w:rPr>
          <w:rFonts w:ascii="Arial" w:hAnsi="Arial" w:cs="Arial"/>
        </w:rPr>
      </w:pPr>
      <w:r>
        <w:rPr>
          <w:rFonts w:ascii="Arial" w:hAnsi="Arial" w:cs="Arial"/>
          <w:b/>
        </w:rPr>
        <w:t xml:space="preserve">11.10.</w:t>
      </w:r>
      <w:r>
        <w:rPr>
          <w:rFonts w:ascii="Arial" w:hAnsi="Arial" w:cs="Arial"/>
        </w:rPr>
        <w:t xml:space="preserve"> Na ausência de previsão legal quanto ao índice substituto, as partes elegerão novo índice oficial, para reajustamento do preço do valor remanescente, por meio de termo aditivo.</w:t>
      </w:r>
      <w:r>
        <w:rPr>
          <w:rFonts w:ascii="Arial" w:hAnsi="Arial" w:cs="Arial"/>
        </w:rPr>
      </w:r>
    </w:p>
    <w:p w14:paraId="017856FD" w14:textId="77777777">
      <w:pPr>
        <w:pBdr/>
        <w:spacing/>
        <w:ind/>
        <w:jc w:val="both"/>
        <w:rPr>
          <w:rFonts w:ascii="Arial" w:hAnsi="Arial" w:cs="Arial"/>
        </w:rPr>
      </w:pPr>
      <w:r>
        <w:rPr>
          <w:rFonts w:ascii="Arial" w:hAnsi="Arial" w:cs="Arial"/>
        </w:rPr>
      </w:r>
      <w:r>
        <w:rPr>
          <w:rFonts w:ascii="Arial" w:hAnsi="Arial" w:cs="Arial"/>
        </w:rPr>
      </w:r>
    </w:p>
    <w:p w14:paraId="00ADCF8D" w14:textId="77777777">
      <w:pPr>
        <w:pBdr/>
        <w:spacing/>
        <w:ind/>
        <w:jc w:val="both"/>
        <w:rPr>
          <w:rFonts w:ascii="Arial" w:hAnsi="Arial" w:cs="Arial"/>
        </w:rPr>
      </w:pPr>
      <w:r>
        <w:rPr>
          <w:rFonts w:ascii="Arial" w:hAnsi="Arial" w:cs="Arial"/>
          <w:b/>
        </w:rPr>
        <w:t xml:space="preserve">11.11</w:t>
      </w:r>
      <w:r>
        <w:rPr>
          <w:rFonts w:ascii="Arial" w:hAnsi="Arial" w:cs="Arial"/>
        </w:rPr>
        <w:t xml:space="preserve">. O reajuste será realizado por apostilamento.</w:t>
      </w:r>
      <w:r>
        <w:rPr>
          <w:rFonts w:ascii="Arial" w:hAnsi="Arial" w:cs="Arial"/>
        </w:rPr>
      </w:r>
    </w:p>
    <w:p w14:paraId="27000B13" w14:textId="77777777">
      <w:pPr>
        <w:pBdr/>
        <w:spacing/>
        <w:ind/>
        <w:jc w:val="both"/>
        <w:rPr>
          <w:rFonts w:ascii="Arial" w:cs="Arial"/>
        </w:rPr>
      </w:pPr>
      <w:r>
        <w:rPr>
          <w:rFonts w:ascii="Arial" w:cs="Arial"/>
        </w:rPr>
      </w:r>
      <w:r>
        <w:rPr>
          <w:rFonts w:ascii="Arial" w:cs="Arial"/>
        </w:rPr>
      </w:r>
    </w:p>
    <w:p w14:paraId="47B59561" w14:textId="77777777">
      <w:pPr>
        <w:pBdr/>
        <w:spacing/>
        <w:ind w:right="-5"/>
        <w:rPr/>
      </w:pPr>
      <w:r>
        <w:rPr>
          <w:rFonts w:ascii="Arial" w:hAnsi="Arial" w:cs="Arial"/>
          <w:b/>
        </w:rPr>
        <w:t xml:space="preserve">CLÁUSULA DÉCIMA SEGUNDA – DA VIGÊNCIA:</w:t>
      </w:r>
      <w:r/>
    </w:p>
    <w:p w14:paraId="1C3081A5" w14:textId="77777777">
      <w:pPr>
        <w:pBdr/>
        <w:spacing/>
        <w:ind/>
        <w:jc w:val="both"/>
        <w:rPr>
          <w:rFonts w:ascii="Arial" w:cs="Arial"/>
          <w:b/>
        </w:rPr>
      </w:pPr>
      <w:r>
        <w:rPr>
          <w:rFonts w:ascii="Arial" w:cs="Arial"/>
          <w:b/>
        </w:rPr>
      </w:r>
      <w:r>
        <w:rPr>
          <w:rFonts w:ascii="Arial" w:cs="Arial"/>
          <w:b/>
        </w:rPr>
      </w:r>
    </w:p>
    <w:p w14:paraId="0BEA592E" w14:textId="77777777">
      <w:pPr>
        <w:pBdr/>
        <w:spacing/>
        <w:ind/>
        <w:jc w:val="both"/>
        <w:rPr>
          <w:rFonts w:ascii="Arial" w:hAnsi="Arial" w:cs="Arial"/>
        </w:rPr>
      </w:pPr>
      <w:r>
        <w:rPr>
          <w:rFonts w:ascii="Arial" w:hAnsi="Arial" w:cs="Arial"/>
          <w:b/>
        </w:rPr>
        <w:t xml:space="preserve">12.1</w:t>
      </w:r>
      <w:r>
        <w:rPr>
          <w:rFonts w:ascii="Arial" w:hAnsi="Arial" w:cs="Arial"/>
        </w:rPr>
        <w:t xml:space="preserve">. O O prazo de vigência deste termo de contrato é de 01 (um) ano, contados da data de sua assinatura, devendo ser observada a existência de créditos orçamentários.</w:t>
      </w:r>
      <w:r>
        <w:rPr>
          <w:rFonts w:ascii="Arial" w:hAnsi="Arial" w:cs="Arial"/>
        </w:rPr>
      </w:r>
    </w:p>
    <w:p w14:paraId="386C0311" w14:textId="77777777">
      <w:pPr>
        <w:pBdr/>
        <w:spacing/>
        <w:ind/>
        <w:jc w:val="both"/>
        <w:rPr>
          <w:rFonts w:ascii="Arial" w:hAnsi="Arial" w:cs="Arial"/>
        </w:rPr>
      </w:pPr>
      <w:r>
        <w:rPr>
          <w:rFonts w:ascii="Arial" w:hAnsi="Arial" w:cs="Arial"/>
        </w:rPr>
      </w:r>
      <w:r>
        <w:rPr>
          <w:rFonts w:ascii="Arial" w:hAnsi="Arial" w:cs="Arial"/>
        </w:rPr>
      </w:r>
    </w:p>
    <w:p w14:paraId="22BE7659" w14:textId="77777777">
      <w:pPr>
        <w:pBdr/>
        <w:spacing/>
        <w:ind/>
        <w:jc w:val="both"/>
        <w:rPr>
          <w:rFonts w:ascii="Arial" w:hAnsi="Arial" w:cs="Arial"/>
        </w:rPr>
      </w:pPr>
      <w:r>
        <w:rPr>
          <w:rFonts w:ascii="Arial" w:hAnsi="Arial" w:cs="Arial"/>
          <w:b/>
        </w:rPr>
        <w:t xml:space="preserve">12.1.2.</w:t>
      </w:r>
      <w:r>
        <w:rPr>
          <w:rFonts w:ascii="Arial" w:hAnsi="Arial" w:cs="Arial"/>
        </w:rPr>
        <w:t xml:space="preserve"> O prazo de vigência será prorrogado de forma automática, sem a necess</w:t>
      </w:r>
      <w:r>
        <w:rPr>
          <w:rFonts w:ascii="Arial" w:hAnsi="Arial" w:cs="Arial"/>
        </w:rPr>
        <w:t xml:space="preserve">idade de celebrar termo aditivo se o objeto não foi concluído dentro do prazo de vigência inicialmente estabelecido, o que não impede a eventual aplicação de sanções administrativas em desfavor do Contratado, nos termos deste contrato e da Lei 14.133/2021.</w:t>
      </w:r>
      <w:r>
        <w:rPr>
          <w:rFonts w:ascii="Arial" w:hAnsi="Arial" w:cs="Arial"/>
        </w:rPr>
      </w:r>
    </w:p>
    <w:p w14:paraId="7FCEFFA2" w14:textId="77777777">
      <w:pPr>
        <w:pBdr/>
        <w:spacing/>
        <w:ind/>
        <w:jc w:val="both"/>
        <w:rPr>
          <w:rFonts w:ascii="Arial" w:cs="Arial"/>
          <w:color w:val="000000"/>
        </w:rPr>
      </w:pPr>
      <w:r>
        <w:rPr>
          <w:rFonts w:ascii="Arial" w:cs="Arial"/>
          <w:color w:val="000000"/>
        </w:rPr>
      </w:r>
      <w:r>
        <w:rPr>
          <w:rFonts w:ascii="Arial" w:cs="Arial"/>
          <w:color w:val="000000"/>
        </w:rPr>
      </w:r>
    </w:p>
    <w:p w14:paraId="4331D8BF" w14:textId="77777777">
      <w:pPr>
        <w:pBdr/>
        <w:spacing/>
        <w:ind/>
        <w:jc w:val="both"/>
        <w:rPr>
          <w:rFonts w:ascii="Arial" w:hAnsi="Arial" w:cs="Arial"/>
        </w:rPr>
      </w:pPr>
      <w:r>
        <w:rPr>
          <w:rFonts w:ascii="Arial" w:hAnsi="Arial" w:cs="Arial"/>
          <w:b/>
          <w:color w:val="000000"/>
        </w:rPr>
        <w:t xml:space="preserve">12.1.3. </w:t>
      </w:r>
      <w:r>
        <w:rPr>
          <w:rFonts w:ascii="Arial" w:hAnsi="Arial" w:cs="Arial"/>
        </w:rPr>
        <w:t xml:space="preserve">A alteração do prazo </w:t>
      </w:r>
      <w:r>
        <w:rPr>
          <w:rFonts w:ascii="Arial" w:hAnsi="Arial" w:cs="Arial"/>
        </w:rPr>
        <w:t xml:space="preserve">de execução inicialmente previsto poderá ser feita mediante justificativa técnica e análise jurídica, pelo prazo necessário à conclusão do objeto, devendo o contratado apresentar cronograma readequado, o que será formalizado por meio de aditivo contratual.</w:t>
      </w:r>
      <w:r>
        <w:rPr>
          <w:rFonts w:ascii="Arial" w:hAnsi="Arial" w:cs="Arial"/>
        </w:rPr>
      </w:r>
    </w:p>
    <w:p w14:paraId="56BA1B1F" w14:textId="77777777">
      <w:pPr>
        <w:pBdr/>
        <w:spacing/>
        <w:ind/>
        <w:jc w:val="both"/>
        <w:rPr>
          <w:rFonts w:ascii="Arial" w:cs="Arial"/>
        </w:rPr>
      </w:pPr>
      <w:r>
        <w:rPr>
          <w:rFonts w:ascii="Arial" w:cs="Arial"/>
        </w:rPr>
      </w:r>
      <w:r>
        <w:rPr>
          <w:rFonts w:ascii="Arial" w:cs="Arial"/>
        </w:rPr>
      </w:r>
    </w:p>
    <w:p w14:paraId="3CAF5F09" w14:textId="77777777">
      <w:pPr>
        <w:pBdr/>
        <w:spacing/>
        <w:ind/>
        <w:jc w:val="both"/>
        <w:rPr/>
      </w:pPr>
      <w:r>
        <w:rPr>
          <w:rFonts w:ascii="Arial" w:hAnsi="Arial" w:cs="Arial"/>
          <w:b/>
        </w:rPr>
        <w:t xml:space="preserve">CLÁUSULA DÉCIMA TERCEIRA – DA ALTERAÇÃO DO CONTRATO</w:t>
      </w:r>
      <w:r>
        <w:rPr>
          <w:rFonts w:ascii="Arial" w:hAnsi="Arial" w:cs="Arial"/>
        </w:rPr>
        <w:t xml:space="preserve">:</w:t>
      </w:r>
      <w:r/>
    </w:p>
    <w:p w14:paraId="2EDDAFE4" w14:textId="77777777">
      <w:pPr>
        <w:pBdr/>
        <w:spacing/>
        <w:ind/>
        <w:jc w:val="both"/>
        <w:rPr>
          <w:rFonts w:ascii="Arial" w:cs="Arial"/>
        </w:rPr>
      </w:pPr>
      <w:r>
        <w:rPr>
          <w:rFonts w:ascii="Arial" w:cs="Arial"/>
        </w:rPr>
      </w:r>
      <w:r>
        <w:rPr>
          <w:rFonts w:ascii="Arial" w:cs="Arial"/>
        </w:rPr>
      </w:r>
    </w:p>
    <w:p w14:paraId="09B18C95" w14:textId="77777777">
      <w:pPr>
        <w:pBdr/>
        <w:spacing/>
        <w:ind/>
        <w:jc w:val="both"/>
        <w:rPr>
          <w:rFonts w:ascii="Arial" w:hAnsi="Arial" w:cs="Arial"/>
        </w:rPr>
      </w:pPr>
      <w:r>
        <w:rPr>
          <w:rFonts w:ascii="Arial" w:hAnsi="Arial" w:cs="Arial"/>
          <w:b/>
        </w:rPr>
        <w:t xml:space="preserve">13.1.</w:t>
      </w:r>
      <w:r>
        <w:rPr>
          <w:rFonts w:ascii="Arial" w:hAnsi="Arial" w:cs="Arial"/>
        </w:rPr>
        <w:t xml:space="preserve"> O contrato poderá ser alterado na forma do artigo 124 e seguintes da Lei nº 14.133/2021 e Decreto Municipal nº 11.685/2023.</w:t>
      </w:r>
      <w:r>
        <w:rPr>
          <w:rFonts w:ascii="Arial" w:hAnsi="Arial" w:cs="Arial"/>
        </w:rPr>
      </w:r>
    </w:p>
    <w:p w14:paraId="7B6ADFEE" w14:textId="77777777">
      <w:pPr>
        <w:pBdr/>
        <w:spacing/>
        <w:ind/>
        <w:jc w:val="both"/>
        <w:rPr>
          <w:rFonts w:ascii="Arial" w:hAnsi="Arial" w:cs="Arial"/>
        </w:rPr>
      </w:pPr>
      <w:r>
        <w:rPr>
          <w:rFonts w:ascii="Arial" w:hAnsi="Arial" w:cs="Arial"/>
        </w:rPr>
      </w:r>
      <w:r>
        <w:rPr>
          <w:rFonts w:ascii="Arial" w:hAnsi="Arial" w:cs="Arial"/>
        </w:rPr>
      </w:r>
    </w:p>
    <w:p w14:paraId="4E1DA951" w14:textId="77777777">
      <w:pPr>
        <w:pBdr/>
        <w:spacing/>
        <w:ind/>
        <w:jc w:val="both"/>
        <w:rPr>
          <w:rFonts w:ascii="Arial" w:hAnsi="Arial" w:cs="Arial"/>
        </w:rPr>
      </w:pPr>
      <w:r>
        <w:rPr>
          <w:rFonts w:ascii="Arial" w:hAnsi="Arial" w:cs="Arial"/>
          <w:b/>
        </w:rPr>
        <w:t xml:space="preserve">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r>
        <w:rPr>
          <w:rFonts w:ascii="Arial" w:hAnsi="Arial" w:cs="Arial"/>
        </w:rPr>
      </w:r>
    </w:p>
    <w:p w14:paraId="62F56C01" w14:textId="77777777">
      <w:pPr>
        <w:pBdr/>
        <w:spacing/>
        <w:ind/>
        <w:jc w:val="both"/>
        <w:rPr>
          <w:rFonts w:ascii="Arial" w:hAnsi="Arial" w:cs="Arial"/>
        </w:rPr>
      </w:pPr>
      <w:r>
        <w:rPr>
          <w:rFonts w:ascii="Arial" w:hAnsi="Arial" w:cs="Arial"/>
        </w:rPr>
      </w:r>
      <w:r>
        <w:rPr>
          <w:rFonts w:ascii="Arial" w:hAnsi="Arial" w:cs="Arial"/>
        </w:rPr>
      </w:r>
    </w:p>
    <w:p w14:paraId="7C3D4B8F" w14:textId="77777777">
      <w:pPr>
        <w:pBdr/>
        <w:spacing/>
        <w:ind/>
        <w:jc w:val="both"/>
        <w:rPr>
          <w:rFonts w:ascii="Arial" w:hAnsi="Arial" w:cs="Arial"/>
        </w:rPr>
      </w:pPr>
      <w:r>
        <w:rPr>
          <w:rFonts w:ascii="Arial" w:hAnsi="Arial" w:cs="Arial"/>
          <w:b/>
        </w:rPr>
        <w:t xml:space="preserve">13.3.</w:t>
      </w:r>
      <w:r>
        <w:rPr>
          <w:rFonts w:ascii="Arial" w:hAnsi="Arial" w:cs="Arial"/>
        </w:rPr>
        <w:t xml:space="preserve"> Registros que não caracterizam alteração do contrato podem ser realizados por simples apostila, dispensada a celebração de termo aditivo, na forma do artigo 136 da Lei nº 14.133, de 2021.</w:t>
      </w:r>
      <w:r>
        <w:rPr>
          <w:rFonts w:ascii="Arial" w:hAnsi="Arial" w:cs="Arial"/>
        </w:rPr>
      </w:r>
    </w:p>
    <w:p w14:paraId="5688AE0D" w14:textId="77777777">
      <w:pPr>
        <w:pBdr/>
        <w:spacing/>
        <w:ind/>
        <w:jc w:val="both"/>
        <w:rPr>
          <w:rFonts w:ascii="Arial" w:hAnsi="Arial" w:cs="Arial"/>
        </w:rPr>
      </w:pPr>
      <w:r>
        <w:rPr>
          <w:rFonts w:ascii="Arial" w:hAnsi="Arial" w:cs="Arial"/>
        </w:rPr>
      </w:r>
      <w:r>
        <w:rPr>
          <w:rFonts w:ascii="Arial" w:hAnsi="Arial" w:cs="Arial"/>
        </w:rPr>
      </w:r>
    </w:p>
    <w:p w14:paraId="548A015D" w14:textId="77777777">
      <w:pPr>
        <w:pBdr/>
        <w:spacing/>
        <w:ind/>
        <w:jc w:val="both"/>
        <w:rPr>
          <w:rFonts w:ascii="Arial" w:hAnsi="Arial" w:cs="Arial"/>
        </w:rPr>
      </w:pPr>
      <w:r>
        <w:rPr>
          <w:rFonts w:ascii="Arial" w:hAnsi="Arial" w:cs="Arial"/>
          <w:b/>
        </w:rPr>
        <w:t xml:space="preserve">13.4.</w:t>
      </w:r>
      <w:r>
        <w:rPr>
          <w:rFonts w:ascii="Arial" w:hAnsi="Arial" w:cs="Arial"/>
        </w:rPr>
        <w:t xml:space="preserve"> Durante a vigência do contrato </w:t>
      </w:r>
      <w:r>
        <w:rPr>
          <w:rFonts w:ascii="Arial" w:hAnsi="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p>
    <w:p w14:paraId="4D63220E" w14:textId="77777777">
      <w:pPr>
        <w:pBdr/>
        <w:spacing/>
        <w:ind/>
        <w:jc w:val="both"/>
        <w:rPr>
          <w:rFonts w:ascii="Arial" w:cs="Arial"/>
        </w:rPr>
      </w:pPr>
      <w:r>
        <w:rPr>
          <w:rFonts w:ascii="Arial" w:cs="Arial"/>
        </w:rPr>
      </w:r>
      <w:r>
        <w:rPr>
          <w:rFonts w:ascii="Arial" w:cs="Arial"/>
        </w:rPr>
      </w:r>
    </w:p>
    <w:p w14:paraId="6F1E41AF" w14:textId="77777777">
      <w:pPr>
        <w:pBdr/>
        <w:spacing/>
        <w:ind/>
        <w:jc w:val="both"/>
        <w:rPr>
          <w:rFonts w:ascii="Arial" w:hAnsi="Arial" w:cs="Arial"/>
          <w:color w:val="000000"/>
        </w:rPr>
      </w:pPr>
      <w:r>
        <w:rPr>
          <w:rFonts w:ascii="Arial" w:hAnsi="Arial" w:cs="Arial"/>
          <w:b/>
        </w:rPr>
        <w:t xml:space="preserve">13</w:t>
      </w:r>
      <w:r>
        <w:rPr>
          <w:rFonts w:ascii="Arial" w:cs="Arial"/>
          <w:b/>
        </w:rPr>
        <w:t xml:space="preserve">.</w:t>
      </w:r>
      <w:r>
        <w:rPr>
          <w:rFonts w:ascii="Arial" w:hAnsi="Arial" w:cs="Arial"/>
          <w:b/>
          <w:color w:val="000000"/>
        </w:rPr>
        <w:t xml:space="preserve">5.</w:t>
      </w:r>
      <w:r>
        <w:rPr>
          <w:rFonts w:ascii="Arial" w:hAnsi="Arial" w:cs="Arial"/>
          <w:color w:val="000000"/>
        </w:rPr>
        <w:t xml:space="preserve"> Os preços registrados poderão ser revisad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14:paraId="76CAC52A"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BFAE05B" w14:textId="77777777">
      <w:pPr>
        <w:pBdr/>
        <w:spacing/>
        <w:ind/>
        <w:jc w:val="both"/>
        <w:rPr>
          <w:rFonts w:ascii="Arial" w:hAnsi="Arial" w:cs="Arial"/>
          <w:color w:val="000000"/>
        </w:rPr>
      </w:pPr>
      <w:r>
        <w:rPr>
          <w:rFonts w:ascii="Arial" w:hAnsi="Arial" w:cs="Arial"/>
          <w:b/>
        </w:rPr>
        <w:t xml:space="preserve">13</w:t>
      </w:r>
      <w:r>
        <w:rPr>
          <w:rFonts w:ascii="Arial" w:cs="Arial"/>
          <w:b/>
        </w:rPr>
        <w:t xml:space="preserve">.</w:t>
      </w:r>
      <w:r>
        <w:rPr>
          <w:rFonts w:ascii="Arial" w:hAnsi="Arial" w:cs="Arial"/>
          <w:b/>
          <w:color w:val="000000"/>
        </w:rPr>
        <w:t xml:space="preserve">6.</w:t>
      </w:r>
      <w:r>
        <w:rPr>
          <w:rFonts w:ascii="Arial" w:hAnsi="Arial" w:cs="Arial"/>
          <w:color w:val="000000"/>
        </w:rPr>
        <w:t xml:space="preserve"> Os fornecedores que não aceitarem reduzir seus preços aos valores praticados pelo mercado serão liberados do compromisso assumido, sem aplicação de penalidade. </w:t>
      </w:r>
      <w:r>
        <w:rPr>
          <w:rFonts w:ascii="Arial" w:hAnsi="Arial" w:cs="Arial"/>
          <w:color w:val="000000"/>
        </w:rPr>
      </w:r>
    </w:p>
    <w:p w14:paraId="427DE5E4"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2E925B4" w14:textId="77777777">
      <w:pPr>
        <w:pBdr/>
        <w:spacing/>
        <w:ind/>
        <w:jc w:val="both"/>
        <w:rPr>
          <w:rFonts w:ascii="Arial" w:hAnsi="Arial" w:cs="Arial"/>
          <w:color w:val="000000"/>
        </w:rPr>
      </w:pPr>
      <w:r>
        <w:rPr>
          <w:rFonts w:ascii="Arial" w:hAnsi="Arial" w:cs="Arial"/>
          <w:b/>
        </w:rPr>
        <w:t xml:space="preserve">13</w:t>
      </w:r>
      <w:r>
        <w:rPr>
          <w:rFonts w:ascii="Arial" w:cs="Arial"/>
          <w:b/>
        </w:rPr>
        <w:t xml:space="preserve">.</w:t>
      </w:r>
      <w:r>
        <w:rPr>
          <w:rFonts w:ascii="Arial" w:hAnsi="Arial" w:cs="Arial"/>
          <w:b/>
          <w:color w:val="000000"/>
        </w:rPr>
        <w:t xml:space="preserve">7.</w:t>
      </w:r>
      <w:r>
        <w:rPr>
          <w:rFonts w:ascii="Arial" w:hAnsi="Arial" w:cs="Arial"/>
          <w:color w:val="000000"/>
        </w:rPr>
        <w:t xml:space="preserve"> O pedido de revisão de preços será processado e julgado pelo Órgão Gerenciador. </w:t>
      </w:r>
      <w:r>
        <w:rPr>
          <w:rFonts w:ascii="Arial" w:hAnsi="Arial" w:cs="Arial"/>
          <w:color w:val="000000"/>
        </w:rPr>
      </w:r>
    </w:p>
    <w:p w14:paraId="75586E56"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C8DD47F" w14:textId="77777777">
      <w:pPr>
        <w:pBdr/>
        <w:spacing/>
        <w:ind/>
        <w:jc w:val="both"/>
        <w:rPr>
          <w:rFonts w:ascii="Arial" w:hAnsi="Arial" w:cs="Arial"/>
          <w:color w:val="000000"/>
        </w:rPr>
      </w:pPr>
      <w:r>
        <w:rPr>
          <w:rFonts w:ascii="Arial" w:hAnsi="Arial" w:cs="Arial"/>
          <w:b/>
        </w:rPr>
        <w:t xml:space="preserve">13</w:t>
      </w:r>
      <w:r>
        <w:rPr>
          <w:rFonts w:ascii="Arial" w:cs="Arial"/>
          <w:b/>
        </w:rPr>
        <w:t xml:space="preserve">.</w:t>
      </w:r>
      <w:r>
        <w:rPr>
          <w:rFonts w:ascii="Arial" w:hAnsi="Arial" w:cs="Arial"/>
          <w:b/>
          <w:color w:val="000000"/>
        </w:rPr>
        <w:t xml:space="preserve">8. </w:t>
      </w:r>
      <w:r>
        <w:rPr>
          <w:rFonts w:ascii="Arial" w:hAnsi="Arial" w:cs="Arial"/>
          <w:color w:val="000000"/>
        </w:rPr>
        <w:t xml:space="preserve">Nos casos em que a majoração do preço for pleiteada pela DETENTORA, o ÓRGÃO GERENCIADOR analisará a solicitação de revi</w:t>
      </w:r>
      <w:r>
        <w:rPr>
          <w:rFonts w:ascii="Arial" w:hAnsi="Arial" w:cs="Arial"/>
          <w:color w:val="00000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color w:val="000000"/>
        </w:rPr>
      </w:r>
    </w:p>
    <w:p w14:paraId="481E04B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2A70478" w14:textId="77777777">
      <w:pPr>
        <w:pBdr/>
        <w:spacing/>
        <w:ind/>
        <w:jc w:val="both"/>
        <w:rPr>
          <w:rFonts w:ascii="Arial" w:cs="Arial"/>
          <w:color w:val="000000"/>
          <w:u w:val="single"/>
        </w:rPr>
      </w:pPr>
      <w:r>
        <w:rPr>
          <w:rFonts w:ascii="Arial" w:hAnsi="Arial" w:cs="Arial"/>
          <w:b/>
        </w:rPr>
        <w:t xml:space="preserve">13</w:t>
      </w:r>
      <w:r>
        <w:rPr>
          <w:rFonts w:ascii="Arial" w:cs="Arial"/>
          <w:b/>
        </w:rPr>
        <w:t xml:space="preserve">.</w:t>
      </w:r>
      <w:r>
        <w:rPr>
          <w:rFonts w:ascii="Arial" w:hAnsi="Arial" w:cs="Arial"/>
          <w:b/>
          <w:color w:val="000000"/>
        </w:rPr>
        <w:t xml:space="preserve">9.</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cs="Arial"/>
          <w:color w:val="000000"/>
          <w:u w:val="single"/>
        </w:rPr>
      </w:r>
    </w:p>
    <w:p w14:paraId="1C634756" w14:textId="77777777">
      <w:pPr>
        <w:pBdr/>
        <w:spacing/>
        <w:ind/>
        <w:jc w:val="both"/>
        <w:rPr>
          <w:rFonts w:ascii="Arial" w:cs="Arial"/>
          <w:color w:val="000000"/>
          <w:u w:val="single"/>
        </w:rPr>
      </w:pPr>
      <w:r>
        <w:rPr>
          <w:rFonts w:ascii="Arial" w:cs="Arial"/>
          <w:color w:val="000000"/>
          <w:u w:val="single"/>
        </w:rPr>
      </w:r>
      <w:r>
        <w:rPr>
          <w:rFonts w:ascii="Arial" w:cs="Arial"/>
          <w:color w:val="000000"/>
          <w:u w:val="single"/>
        </w:rPr>
      </w:r>
    </w:p>
    <w:p w14:paraId="27B47C9E" w14:textId="77777777">
      <w:pPr>
        <w:pBdr/>
        <w:spacing/>
        <w:ind/>
        <w:jc w:val="both"/>
        <w:rPr>
          <w:rFonts w:ascii="Arial" w:hAnsi="Arial" w:cs="Arial"/>
          <w:color w:val="000000"/>
        </w:rPr>
      </w:pPr>
      <w:r>
        <w:rPr>
          <w:rFonts w:ascii="Arial" w:hAnsi="Arial" w:cs="Arial"/>
          <w:b/>
        </w:rPr>
        <w:t xml:space="preserve">13.</w:t>
      </w:r>
      <w:r>
        <w:rPr>
          <w:rFonts w:ascii="Arial" w:hAnsi="Arial" w:cs="Arial"/>
          <w:b/>
          <w:color w:val="000000"/>
        </w:rPr>
        <w:t xml:space="preserve">10.</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14:paraId="521D9316"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3A09D17" w14:textId="77777777">
      <w:pPr>
        <w:pBdr/>
        <w:spacing/>
        <w:ind/>
        <w:jc w:val="both"/>
        <w:rPr>
          <w:rFonts w:ascii="Arial" w:hAnsi="Arial" w:cs="Arial"/>
          <w:color w:val="000000"/>
        </w:rPr>
      </w:pPr>
      <w:r>
        <w:rPr>
          <w:rFonts w:ascii="Arial" w:hAnsi="Arial" w:cs="Arial"/>
          <w:b/>
        </w:rPr>
        <w:t xml:space="preserve">13. </w:t>
      </w:r>
      <w:r>
        <w:rPr>
          <w:rFonts w:ascii="Arial" w:hAnsi="Arial" w:cs="Arial"/>
          <w:b/>
          <w:color w:val="000000"/>
        </w:rPr>
        <w:t xml:space="preserve">11.</w:t>
      </w:r>
      <w:r>
        <w:rPr>
          <w:rFonts w:ascii="Arial" w:hAnsi="Arial" w:cs="Arial"/>
          <w:color w:val="000000"/>
        </w:rPr>
        <w:t xml:space="preserve"> Ocorrendo umas das hipóteses previstas na alínea “d” do inciso II do artigo 124 da Lei n. 14</w:t>
      </w:r>
      <w:r>
        <w:rPr>
          <w:rFonts w:ascii="Arial" w:hAnsi="Arial" w:cs="Arial"/>
          <w:color w:val="00000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rPr>
      </w:r>
    </w:p>
    <w:p w14:paraId="53B75CFC"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C772363" w14:textId="77777777">
      <w:pPr>
        <w:pBdr/>
        <w:spacing/>
        <w:ind/>
        <w:jc w:val="both"/>
        <w:rPr>
          <w:rFonts w:ascii="Arial" w:hAnsi="Arial" w:cs="Arial"/>
          <w:color w:val="000000"/>
          <w:u w:val="single"/>
        </w:rPr>
      </w:pPr>
      <w:r>
        <w:rPr>
          <w:rFonts w:ascii="Arial" w:hAnsi="Arial" w:cs="Arial"/>
          <w:b/>
          <w:u w:val="single"/>
        </w:rPr>
        <w:t xml:space="preserve">13</w:t>
      </w:r>
      <w:r>
        <w:rPr>
          <w:rFonts w:ascii="Arial" w:cs="Arial"/>
          <w:b/>
          <w:u w:val="single"/>
        </w:rPr>
        <w:t xml:space="preserve">.</w:t>
      </w:r>
      <w:r>
        <w:rPr>
          <w:rFonts w:ascii="Arial" w:hAnsi="Arial" w:cs="Arial"/>
          <w:b/>
          <w:color w:val="000000"/>
          <w:u w:val="single"/>
        </w:rPr>
        <w:t xml:space="preserve">12.</w:t>
      </w:r>
      <w:r>
        <w:rPr>
          <w:rFonts w:ascii="Arial" w:hAnsi="Arial" w:cs="Arial"/>
          <w:color w:val="000000"/>
          <w:u w:val="single"/>
        </w:rPr>
        <w:t xml:space="preserve"> O prazo para resposta ao pedido de repactuação de preços, quando for o caso, será de até 30 (trinta) úteis dias prorrogáveis por igual período. (Art. 92 Inciso X da Lei 14.133/2021).</w:t>
      </w:r>
      <w:r>
        <w:rPr>
          <w:rFonts w:ascii="Arial" w:hAnsi="Arial" w:cs="Arial"/>
          <w:color w:val="000000"/>
          <w:u w:val="single"/>
        </w:rPr>
      </w:r>
    </w:p>
    <w:p w14:paraId="7DA20D4A" w14:textId="77777777">
      <w:pPr>
        <w:pBdr/>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14:paraId="087D954F" w14:textId="6961235A">
      <w:pPr>
        <w:pBdr/>
        <w:spacing/>
        <w:ind/>
        <w:jc w:val="both"/>
        <w:rPr>
          <w:rFonts w:ascii="Arial" w:hAnsi="Arial"/>
        </w:rPr>
      </w:pPr>
      <w:r>
        <w:rPr>
          <w:rFonts w:ascii="Arial" w:hAnsi="Arial"/>
          <w:b/>
        </w:rPr>
        <w:t xml:space="preserve">13.13.</w:t>
      </w:r>
      <w:r>
        <w:rPr>
          <w:rFonts w:ascii="Arial" w:hAnsi="Arial"/>
        </w:rPr>
        <w:t xml:space="preserve"> O prazo para resposta para pedido de pedido de reajuste, pedido de equilíbrio econômico-financeiro será de até 30 (trinta) dias úteis.</w:t>
      </w:r>
      <w:r>
        <w:rPr>
          <w:rFonts w:ascii="Arial" w:hAnsi="Arial"/>
        </w:rPr>
      </w:r>
    </w:p>
    <w:p w14:paraId="02296112" w14:textId="77777777">
      <w:pPr>
        <w:pBdr/>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14:paraId="1A878AAB" w14:textId="77777777">
      <w:pPr>
        <w:pBdr/>
        <w:spacing/>
        <w:ind/>
        <w:jc w:val="both"/>
        <w:rPr/>
      </w:pPr>
      <w:r>
        <w:rPr>
          <w:rFonts w:ascii="Arial" w:hAnsi="Arial" w:cs="Arial"/>
          <w:b/>
        </w:rPr>
        <w:t xml:space="preserve">CLÁUSULA DÉCIMA QUARTA – DA EXTINÇÃO DO CONTRATO</w:t>
      </w:r>
      <w:r>
        <w:rPr>
          <w:rFonts w:ascii="Arial" w:hAnsi="Arial" w:cs="Arial"/>
        </w:rPr>
        <w:t xml:space="preserve">:</w:t>
      </w:r>
      <w:r/>
    </w:p>
    <w:p w14:paraId="5CDF78E4" w14:textId="77777777">
      <w:pPr>
        <w:pBdr/>
        <w:spacing/>
        <w:ind/>
        <w:jc w:val="both"/>
        <w:rPr>
          <w:rFonts w:ascii="Arial" w:cs="Arial"/>
          <w:b/>
        </w:rPr>
      </w:pPr>
      <w:r>
        <w:rPr>
          <w:rFonts w:ascii="Arial" w:cs="Arial"/>
          <w:b/>
        </w:rPr>
      </w:r>
      <w:r>
        <w:rPr>
          <w:rFonts w:ascii="Arial" w:cs="Arial"/>
          <w:b/>
        </w:rPr>
      </w:r>
    </w:p>
    <w:p w14:paraId="042DBA91" w14:textId="77777777">
      <w:pPr>
        <w:pBdr/>
        <w:spacing/>
        <w:ind/>
        <w:jc w:val="both"/>
        <w:rPr/>
      </w:pPr>
      <w:r>
        <w:rPr>
          <w:rFonts w:ascii="Arial" w:hAnsi="Arial" w:cs="Arial"/>
          <w:b/>
        </w:rPr>
        <w:t xml:space="preserve">14.1.</w:t>
      </w:r>
      <w:r>
        <w:rPr>
          <w:rFonts w:ascii="Arial" w:hAnsi="Arial" w:cs="Arial"/>
        </w:rPr>
        <w:t xml:space="preserve"> O contrato se extingue quando cumpridas as obrigações de ambas as partes, ainda que isso ocorra antes do prazo estipulado para tanto.</w:t>
      </w:r>
      <w:r/>
    </w:p>
    <w:p w14:paraId="695B0A31" w14:textId="77777777">
      <w:pPr>
        <w:pBdr/>
        <w:spacing/>
        <w:ind/>
        <w:jc w:val="both"/>
        <w:rPr>
          <w:rFonts w:ascii="Arial" w:cs="Arial"/>
        </w:rPr>
      </w:pPr>
      <w:r>
        <w:rPr>
          <w:rFonts w:ascii="Arial" w:cs="Arial"/>
        </w:rPr>
      </w:r>
      <w:r>
        <w:rPr>
          <w:rFonts w:ascii="Arial" w:cs="Arial"/>
        </w:rPr>
      </w:r>
    </w:p>
    <w:p w14:paraId="64A2D882" w14:textId="77777777">
      <w:pPr>
        <w:pBdr/>
        <w:spacing/>
        <w:ind/>
        <w:jc w:val="both"/>
        <w:rPr/>
      </w:pPr>
      <w:r>
        <w:rPr>
          <w:rFonts w:ascii="Arial" w:hAnsi="Arial" w:cs="Arial"/>
          <w:b/>
        </w:rPr>
        <w:t xml:space="preserve">14.2.</w:t>
      </w:r>
      <w:r>
        <w:rPr>
          <w:rFonts w:ascii="Arial" w:hAnsi="Arial" w:cs="Arial"/>
        </w:rPr>
        <w:t xml:space="preserve"> O presente termo de contrato poderá ser extinto nas hipóteses previstas no rol do</w:t>
      </w:r>
      <w:r>
        <w:rPr>
          <w:rFonts w:ascii="Arial" w:hAnsi="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p>
    <w:p w14:paraId="5658E3D8" w14:textId="77777777">
      <w:pPr>
        <w:pBdr/>
        <w:spacing/>
        <w:ind/>
        <w:jc w:val="both"/>
        <w:rPr>
          <w:rFonts w:ascii="Arial" w:cs="Arial"/>
        </w:rPr>
      </w:pPr>
      <w:r>
        <w:rPr>
          <w:rFonts w:ascii="Arial" w:cs="Arial"/>
        </w:rPr>
      </w:r>
      <w:r>
        <w:rPr>
          <w:rFonts w:ascii="Arial" w:cs="Arial"/>
        </w:rPr>
      </w:r>
    </w:p>
    <w:p w14:paraId="2B29AF89" w14:textId="77777777">
      <w:pPr>
        <w:pBdr/>
        <w:spacing/>
        <w:ind/>
        <w:jc w:val="both"/>
        <w:rPr/>
      </w:pPr>
      <w:r>
        <w:rPr>
          <w:rFonts w:ascii="Arial" w:hAnsi="Arial" w:cs="Arial"/>
          <w:b/>
        </w:rPr>
        <w:t xml:space="preserve">14.2.1.</w:t>
      </w:r>
      <w:r>
        <w:rPr>
          <w:rFonts w:ascii="Arial" w:hAnsi="Arial" w:cs="Arial"/>
        </w:rPr>
        <w:t xml:space="preserve"> Nesta hipótese, aplicam-se também os artigos 138 e 139 da Lei 14.133/2021.</w:t>
      </w:r>
      <w:r/>
    </w:p>
    <w:p w14:paraId="793FDAFB" w14:textId="77777777">
      <w:pPr>
        <w:pBdr/>
        <w:spacing/>
        <w:ind/>
        <w:jc w:val="both"/>
        <w:rPr>
          <w:rFonts w:ascii="Arial" w:cs="Arial"/>
        </w:rPr>
      </w:pPr>
      <w:r>
        <w:rPr>
          <w:rFonts w:ascii="Arial" w:cs="Arial"/>
        </w:rPr>
      </w:r>
      <w:r>
        <w:rPr>
          <w:rFonts w:ascii="Arial" w:cs="Arial"/>
        </w:rPr>
      </w:r>
    </w:p>
    <w:p w14:paraId="21C0C293" w14:textId="77777777">
      <w:pPr>
        <w:pBdr/>
        <w:spacing/>
        <w:ind/>
        <w:jc w:val="both"/>
        <w:rPr/>
      </w:pPr>
      <w:r>
        <w:rPr>
          <w:rFonts w:ascii="Arial" w:hAnsi="Arial" w:cs="Arial"/>
          <w:b/>
        </w:rPr>
        <w:t xml:space="preserve">14.2.2.</w:t>
      </w:r>
      <w:r>
        <w:rPr>
          <w:rFonts w:ascii="Arial" w:hAnsi="Arial" w:cs="Arial"/>
        </w:rPr>
        <w:t xml:space="preserve"> A alteração social ou a modificação da finalidade ou da estrutura da empresa não ensejará a rescisão se não restringir sua capacidade de concluir o contrato.</w:t>
      </w:r>
      <w:r/>
    </w:p>
    <w:p w14:paraId="7AF550C0" w14:textId="77777777">
      <w:pPr>
        <w:pBdr/>
        <w:spacing/>
        <w:ind/>
        <w:jc w:val="both"/>
        <w:rPr>
          <w:rFonts w:ascii="Arial" w:cs="Arial"/>
        </w:rPr>
      </w:pPr>
      <w:r>
        <w:rPr>
          <w:rFonts w:ascii="Arial" w:cs="Arial"/>
        </w:rPr>
      </w:r>
      <w:r>
        <w:rPr>
          <w:rFonts w:ascii="Arial" w:cs="Arial"/>
        </w:rPr>
      </w:r>
    </w:p>
    <w:p w14:paraId="3027BD4D" w14:textId="77777777">
      <w:pPr>
        <w:pBdr/>
        <w:spacing/>
        <w:ind/>
        <w:jc w:val="both"/>
        <w:rPr/>
      </w:pPr>
      <w:r>
        <w:rPr>
          <w:rFonts w:ascii="Arial" w:hAnsi="Arial" w:cs="Arial"/>
          <w:b/>
        </w:rPr>
        <w:t xml:space="preserve">14.2.3.</w:t>
      </w:r>
      <w:r>
        <w:rPr>
          <w:rFonts w:ascii="Arial" w:hAnsi="Arial" w:cs="Arial"/>
        </w:rPr>
        <w:t xml:space="preserve"> Se a operação implicar mudança da pessoa jurídica contratada, deverá ser formalizado termo aditivo para alteração subjetiva.</w:t>
      </w:r>
      <w:r/>
    </w:p>
    <w:p w14:paraId="7F960E02" w14:textId="77777777">
      <w:pPr>
        <w:pBdr/>
        <w:spacing/>
        <w:ind/>
        <w:jc w:val="both"/>
        <w:rPr>
          <w:rFonts w:ascii="Arial" w:cs="Arial"/>
        </w:rPr>
      </w:pPr>
      <w:r>
        <w:rPr>
          <w:rFonts w:ascii="Arial" w:cs="Arial"/>
        </w:rPr>
      </w:r>
      <w:r>
        <w:rPr>
          <w:rFonts w:ascii="Arial" w:cs="Arial"/>
        </w:rPr>
      </w:r>
    </w:p>
    <w:p w14:paraId="3AA4572A" w14:textId="77777777">
      <w:pPr>
        <w:pBdr/>
        <w:spacing/>
        <w:ind/>
        <w:jc w:val="both"/>
        <w:rPr/>
      </w:pPr>
      <w:r>
        <w:rPr>
          <w:rFonts w:ascii="Arial" w:hAnsi="Arial" w:cs="Arial"/>
          <w:b/>
        </w:rPr>
        <w:t xml:space="preserve">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p>
    <w:p w14:paraId="4DB0CA96" w14:textId="77777777">
      <w:pPr>
        <w:pBdr/>
        <w:spacing/>
        <w:ind/>
        <w:jc w:val="both"/>
        <w:rPr>
          <w:rFonts w:ascii="Arial" w:cs="Arial"/>
        </w:rPr>
      </w:pPr>
      <w:r>
        <w:rPr>
          <w:rFonts w:ascii="Arial" w:cs="Arial"/>
        </w:rPr>
      </w:r>
      <w:r>
        <w:rPr>
          <w:rFonts w:ascii="Arial" w:cs="Arial"/>
        </w:rPr>
      </w:r>
    </w:p>
    <w:p w14:paraId="1258BEA7" w14:textId="77777777">
      <w:pPr>
        <w:pBdr/>
        <w:spacing/>
        <w:ind/>
        <w:jc w:val="both"/>
        <w:rPr/>
      </w:pPr>
      <w:r>
        <w:rPr>
          <w:rFonts w:ascii="Arial" w:hAnsi="Arial" w:cs="Arial"/>
          <w:b/>
        </w:rPr>
        <w:t xml:space="preserve">14.4.</w:t>
      </w:r>
      <w:r>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p>
    <w:p w14:paraId="7196BE31" w14:textId="77777777">
      <w:pPr>
        <w:pBdr/>
        <w:spacing/>
        <w:ind/>
        <w:jc w:val="both"/>
        <w:rPr>
          <w:rFonts w:ascii="Arial" w:cs="Arial"/>
        </w:rPr>
      </w:pPr>
      <w:r>
        <w:rPr>
          <w:rFonts w:ascii="Arial" w:cs="Arial"/>
        </w:rPr>
      </w:r>
      <w:r>
        <w:rPr>
          <w:rFonts w:ascii="Arial" w:cs="Arial"/>
        </w:rPr>
      </w:r>
    </w:p>
    <w:p w14:paraId="3F0B607A" w14:textId="77777777">
      <w:pPr>
        <w:pBdr/>
        <w:spacing/>
        <w:ind/>
        <w:jc w:val="both"/>
        <w:rPr/>
      </w:pPr>
      <w:r>
        <w:rPr>
          <w:rFonts w:ascii="Arial" w:hAnsi="Arial" w:cs="Arial"/>
          <w:b/>
        </w:rPr>
        <w:t xml:space="preserve">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rPr>
        <w:t xml:space="preserve">caput, </w:t>
      </w:r>
      <w:r>
        <w:rPr>
          <w:rFonts w:ascii="Arial" w:hAnsi="Arial" w:cs="Arial"/>
        </w:rPr>
        <w:t xml:space="preserve">da Lei nº 14.133, de 2021).</w:t>
      </w:r>
      <w:r/>
    </w:p>
    <w:p w14:paraId="3280F9C5" w14:textId="77777777">
      <w:pPr>
        <w:pBdr/>
        <w:spacing/>
        <w:ind/>
        <w:jc w:val="both"/>
        <w:rPr>
          <w:rFonts w:ascii="Arial" w:cs="Arial"/>
        </w:rPr>
      </w:pPr>
      <w:r>
        <w:rPr>
          <w:rFonts w:ascii="Arial" w:cs="Arial"/>
        </w:rPr>
      </w:r>
      <w:r>
        <w:rPr>
          <w:rFonts w:ascii="Arial" w:cs="Arial"/>
        </w:rPr>
      </w:r>
    </w:p>
    <w:p w14:paraId="18FABF0E" w14:textId="77777777">
      <w:pPr>
        <w:pBdr/>
        <w:spacing/>
        <w:ind/>
        <w:jc w:val="both"/>
        <w:rPr/>
      </w:pPr>
      <w:r>
        <w:rPr>
          <w:rFonts w:ascii="Arial" w:hAnsi="Arial" w:cs="Arial"/>
          <w:b/>
        </w:rPr>
        <w:t xml:space="preserve">CLÁUSULA DÉCIMA QUINTA – DA FISCALIZAÇÃO E GESTÃO DO CONTRATO</w:t>
      </w:r>
      <w:r>
        <w:rPr>
          <w:rFonts w:ascii="Arial" w:hAnsi="Arial" w:cs="Arial"/>
        </w:rPr>
        <w:t xml:space="preserve">:</w:t>
      </w:r>
      <w:r/>
    </w:p>
    <w:p w14:paraId="6680304F" w14:textId="77777777">
      <w:pPr>
        <w:pBdr/>
        <w:spacing/>
        <w:ind/>
        <w:jc w:val="both"/>
        <w:rPr>
          <w:rFonts w:ascii="Arial" w:cs="Arial"/>
          <w:b/>
        </w:rPr>
      </w:pPr>
      <w:r>
        <w:rPr>
          <w:rFonts w:ascii="Arial" w:cs="Arial"/>
          <w:b/>
        </w:rPr>
      </w:r>
      <w:r>
        <w:rPr>
          <w:rFonts w:ascii="Arial" w:cs="Arial"/>
          <w:b/>
        </w:rPr>
      </w:r>
    </w:p>
    <w:p w14:paraId="5ECA37B1" w14:textId="77777777">
      <w:pPr>
        <w:pBdr/>
        <w:spacing/>
        <w:ind/>
        <w:jc w:val="both"/>
        <w:rPr/>
      </w:pPr>
      <w:r>
        <w:rPr>
          <w:rFonts w:ascii="Arial" w:hAnsi="Arial" w:cs="Arial"/>
          <w:b/>
        </w:rPr>
        <w:t xml:space="preserve">15.1.</w:t>
      </w:r>
      <w:r>
        <w:rPr>
          <w:rFonts w:ascii="Arial" w:hAnsi="Arial" w:cs="Arial"/>
        </w:rPr>
        <w:t xml:space="preserve"> Será designado, pelo contratante, um servidor qualificado ou uma comissão para exercer a fiscalização e acompanhamento do contrato, que terá, dentre outras, a incumbência de informar as ocorrências relevantes </w:t>
      </w:r>
      <w:r>
        <w:rPr>
          <w:rFonts w:ascii="Arial" w:hAnsi="Arial" w:cs="Arial"/>
        </w:rPr>
        <w:t xml:space="preserve">verificadas na execução contratual, inclusive quanto a eventuais atrasos e descumprimentos de cláusulas contratuais; solicitar ao contratado documentos exigidos para o fornecimen</w:t>
      </w:r>
      <w:r>
        <w:rPr>
          <w:rFonts w:ascii="Arial" w:hAnsi="Arial" w:cs="Arial"/>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p>
    <w:p w14:paraId="0EC757D9" w14:textId="77777777">
      <w:pPr>
        <w:pBdr/>
        <w:spacing/>
        <w:ind/>
        <w:jc w:val="both"/>
        <w:rPr>
          <w:rFonts w:ascii="Arial" w:cs="Arial"/>
        </w:rPr>
      </w:pPr>
      <w:r>
        <w:rPr>
          <w:rFonts w:ascii="Arial" w:cs="Arial"/>
        </w:rPr>
      </w:r>
      <w:r>
        <w:rPr>
          <w:rFonts w:ascii="Arial" w:cs="Arial"/>
        </w:rPr>
      </w:r>
    </w:p>
    <w:p w14:paraId="1081CB72" w14:textId="77777777">
      <w:pPr>
        <w:pBdr/>
        <w:spacing/>
        <w:ind/>
        <w:jc w:val="both"/>
        <w:rPr/>
      </w:pPr>
      <w:r>
        <w:rPr>
          <w:rFonts w:ascii="Arial" w:hAnsi="Arial" w:cs="Arial"/>
          <w:b/>
        </w:rPr>
        <w:t xml:space="preserve">15.2</w:t>
      </w:r>
      <w:r>
        <w:rPr>
          <w:rFonts w:ascii="Arial" w:hAnsi="Arial" w:cs="Arial"/>
        </w:rPr>
        <w:t xml:space="preserve">. A execução do contrato deverá ser acompanhada e fiscalizada por um ou mais fiscais de contratos, representantes da Administração especialmente designados, nos termos do art. 117 da Lei nº 14.133/2021.</w:t>
      </w:r>
      <w:r/>
    </w:p>
    <w:p w14:paraId="5E667CF3" w14:textId="77777777">
      <w:pPr>
        <w:pBdr/>
        <w:spacing/>
        <w:ind/>
        <w:jc w:val="both"/>
        <w:rPr>
          <w:rFonts w:ascii="Arial" w:cs="Arial"/>
        </w:rPr>
      </w:pPr>
      <w:r>
        <w:rPr>
          <w:rFonts w:ascii="Arial" w:cs="Arial"/>
        </w:rPr>
      </w:r>
      <w:r>
        <w:rPr>
          <w:rFonts w:ascii="Arial" w:cs="Arial"/>
        </w:rPr>
      </w:r>
    </w:p>
    <w:p w14:paraId="1CD45A62" w14:textId="77777777">
      <w:pPr>
        <w:pBdr/>
        <w:spacing/>
        <w:ind/>
        <w:jc w:val="both"/>
        <w:rPr/>
      </w:pPr>
      <w:r>
        <w:rPr>
          <w:rFonts w:ascii="Arial" w:hAnsi="Arial" w:cs="Arial"/>
          <w:b/>
        </w:rPr>
        <w:t xml:space="preserve">15.3. </w:t>
      </w:r>
      <w:r>
        <w:rPr>
          <w:rFonts w:ascii="Arial" w:hAnsi="Arial" w:cs="Arial"/>
        </w:rPr>
        <w:t xml:space="preserve">A fiscalização exercida pelo contratante na entrega dos bens não exclui a responsabilidade do contra</w:t>
      </w:r>
      <w:r>
        <w:rPr>
          <w:rFonts w:ascii="Arial" w:hAnsi="Arial" w:cs="Arial"/>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p>
    <w:p w14:paraId="199C2EDB" w14:textId="77777777">
      <w:pPr>
        <w:pBdr/>
        <w:spacing/>
        <w:ind/>
        <w:jc w:val="both"/>
        <w:rPr>
          <w:rFonts w:ascii="Arial" w:cs="Arial"/>
        </w:rPr>
      </w:pPr>
      <w:r>
        <w:rPr>
          <w:rFonts w:ascii="Arial" w:cs="Arial"/>
        </w:rPr>
      </w:r>
      <w:r>
        <w:rPr>
          <w:rFonts w:ascii="Arial" w:cs="Arial"/>
        </w:rPr>
      </w:r>
    </w:p>
    <w:p w14:paraId="17BE4574" w14:textId="77777777">
      <w:pPr>
        <w:pBdr/>
        <w:spacing/>
        <w:ind/>
        <w:jc w:val="both"/>
        <w:rPr/>
      </w:pPr>
      <w:r>
        <w:rPr>
          <w:rFonts w:ascii="Arial" w:hAnsi="Arial" w:cs="Arial"/>
          <w:b/>
        </w:rPr>
        <w:t xml:space="preserve">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r/>
    </w:p>
    <w:p w14:paraId="797B27F6" w14:textId="77777777">
      <w:pPr>
        <w:pBdr/>
        <w:spacing/>
        <w:ind/>
        <w:jc w:val="both"/>
        <w:rPr>
          <w:rFonts w:ascii="Arial" w:cs="Arial"/>
        </w:rPr>
      </w:pPr>
      <w:r>
        <w:rPr>
          <w:rFonts w:ascii="Arial" w:cs="Arial"/>
        </w:rPr>
      </w:r>
      <w:r>
        <w:rPr>
          <w:rFonts w:ascii="Arial" w:cs="Arial"/>
        </w:rPr>
      </w:r>
    </w:p>
    <w:p w14:paraId="04B90ABF" w14:textId="77777777">
      <w:pPr>
        <w:pBdr/>
        <w:spacing/>
        <w:ind/>
        <w:jc w:val="both"/>
        <w:rPr/>
      </w:pPr>
      <w:r>
        <w:rPr>
          <w:rFonts w:ascii="Arial" w:hAnsi="Arial" w:cs="Arial"/>
          <w:b/>
        </w:rPr>
        <w:t xml:space="preserve">15.5.</w:t>
      </w:r>
      <w:r>
        <w:rPr>
          <w:rFonts w:ascii="Arial" w:hAnsi="Arial" w:cs="Arial"/>
        </w:rPr>
        <w:t xml:space="preserve"> A execução do contrato deverá ser acompanhada e fiscalizada pelo(s) fiscal(is) do contrato, ou, em caso de afastamentos legais, pelos respectivos substitutos.</w:t>
      </w:r>
      <w:r/>
    </w:p>
    <w:p w14:paraId="49DDF6F6" w14:textId="77777777">
      <w:pPr>
        <w:pBdr/>
        <w:spacing/>
        <w:ind/>
        <w:jc w:val="both"/>
        <w:rPr>
          <w:rFonts w:ascii="Arial" w:cs="Arial"/>
        </w:rPr>
      </w:pPr>
      <w:r>
        <w:rPr>
          <w:rFonts w:ascii="Arial" w:cs="Arial"/>
        </w:rPr>
      </w:r>
      <w:r>
        <w:rPr>
          <w:rFonts w:ascii="Arial" w:cs="Arial"/>
        </w:rPr>
      </w:r>
    </w:p>
    <w:p w14:paraId="63581056" w14:textId="77777777">
      <w:pPr>
        <w:pBdr/>
        <w:spacing/>
        <w:ind/>
        <w:jc w:val="both"/>
        <w:rPr/>
      </w:pPr>
      <w:r>
        <w:rPr>
          <w:rFonts w:ascii="Arial" w:hAnsi="Arial" w:cs="Arial"/>
          <w:b/>
        </w:rPr>
        <w:t xml:space="preserve">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p>
    <w:p w14:paraId="44778C55" w14:textId="77777777">
      <w:pPr>
        <w:pBdr/>
        <w:spacing/>
        <w:ind/>
        <w:jc w:val="both"/>
        <w:rPr>
          <w:rFonts w:ascii="Arial" w:cs="Arial"/>
        </w:rPr>
      </w:pPr>
      <w:r>
        <w:rPr>
          <w:rFonts w:ascii="Arial" w:cs="Arial"/>
        </w:rPr>
      </w:r>
      <w:r>
        <w:rPr>
          <w:rFonts w:ascii="Arial" w:cs="Arial"/>
        </w:rPr>
      </w:r>
    </w:p>
    <w:p w14:paraId="394F7198" w14:textId="77777777">
      <w:pPr>
        <w:pBdr/>
        <w:spacing/>
        <w:ind/>
        <w:jc w:val="both"/>
        <w:rPr/>
      </w:pPr>
      <w:r>
        <w:rPr>
          <w:rFonts w:ascii="Arial" w:hAnsi="Arial" w:cs="Arial"/>
          <w:b/>
        </w:rPr>
        <w:t xml:space="preserve">15.7.</w:t>
      </w:r>
      <w:r>
        <w:rPr>
          <w:rFonts w:ascii="Arial" w:hAnsi="Arial" w:cs="Arial"/>
        </w:rPr>
        <w:t xml:space="preserve"> 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p>
    <w:p w14:paraId="37C5B075" w14:textId="77777777">
      <w:pPr>
        <w:pBdr/>
        <w:spacing/>
        <w:ind/>
        <w:jc w:val="both"/>
        <w:rPr>
          <w:rFonts w:ascii="Arial" w:cs="Arial"/>
        </w:rPr>
      </w:pPr>
      <w:r>
        <w:rPr>
          <w:rFonts w:ascii="Arial" w:cs="Arial"/>
        </w:rPr>
      </w:r>
      <w:r>
        <w:rPr>
          <w:rFonts w:ascii="Arial" w:cs="Arial"/>
        </w:rPr>
      </w:r>
    </w:p>
    <w:p w14:paraId="360F42FC" w14:textId="77777777">
      <w:pPr>
        <w:pBdr/>
        <w:spacing/>
        <w:ind/>
        <w:jc w:val="both"/>
        <w:rPr/>
      </w:pPr>
      <w:r>
        <w:rPr>
          <w:rFonts w:ascii="Arial" w:hAnsi="Arial" w:cs="Arial"/>
          <w:b/>
        </w:rPr>
        <w:t xml:space="preserve">CLÁUSULA DÉCIMA SEXTA - DAS INFRAÇÕES E SANÇÕES ADMINISTRATIVAS: </w:t>
      </w:r>
      <w:r/>
    </w:p>
    <w:p w14:paraId="02898628" w14:textId="77777777">
      <w:pPr>
        <w:pBdr/>
        <w:spacing/>
        <w:ind/>
        <w:jc w:val="both"/>
        <w:rPr>
          <w:rFonts w:ascii="Arial" w:cs="Arial"/>
          <w:b/>
        </w:rPr>
      </w:pPr>
      <w:r>
        <w:rPr>
          <w:rFonts w:ascii="Arial" w:cs="Arial"/>
          <w:b/>
        </w:rPr>
      </w:r>
      <w:r>
        <w:rPr>
          <w:rFonts w:ascii="Arial" w:cs="Arial"/>
          <w:b/>
        </w:rPr>
      </w:r>
    </w:p>
    <w:p w14:paraId="70EC6061" w14:textId="77777777">
      <w:pPr>
        <w:pBdr/>
        <w:spacing/>
        <w:ind/>
        <w:jc w:val="both"/>
        <w:rPr/>
      </w:pPr>
      <w:r>
        <w:rPr>
          <w:rFonts w:ascii="Arial" w:hAnsi="Arial" w:cs="Arial"/>
          <w:b/>
        </w:rPr>
        <w:t xml:space="preserve">16.1.</w:t>
      </w:r>
      <w:r>
        <w:rPr>
          <w:rFonts w:ascii="Arial" w:hAnsi="Arial" w:cs="Arial"/>
        </w:rPr>
        <w:t xml:space="preserve"> Comete infração administrativa, nos termos da Lei nº 14.133/2021 (art. 155) e do Decreto Municipal nº 11.685/2023 o contratado que:</w:t>
      </w:r>
      <w:r/>
    </w:p>
    <w:p w14:paraId="373A5DC1" w14:textId="77777777">
      <w:pPr>
        <w:pBdr/>
        <w:spacing/>
        <w:ind/>
        <w:jc w:val="both"/>
        <w:rPr>
          <w:rFonts w:ascii="Arial" w:cs="Arial"/>
        </w:rPr>
      </w:pPr>
      <w:r>
        <w:rPr>
          <w:rFonts w:ascii="Arial" w:cs="Arial"/>
        </w:rPr>
      </w:r>
      <w:r>
        <w:rPr>
          <w:rFonts w:ascii="Arial" w:cs="Arial"/>
        </w:rPr>
      </w:r>
    </w:p>
    <w:p w14:paraId="552B90E6" w14:textId="77777777">
      <w:pPr>
        <w:pBdr/>
        <w:spacing/>
        <w:ind/>
        <w:jc w:val="both"/>
        <w:rPr/>
      </w:pPr>
      <w:r>
        <w:rPr>
          <w:rFonts w:ascii="Arial" w:hAnsi="Arial" w:cs="Arial"/>
          <w:b/>
        </w:rPr>
        <w:t xml:space="preserve">16.1.1.</w:t>
      </w:r>
      <w:r>
        <w:rPr>
          <w:rFonts w:ascii="Arial" w:hAnsi="Arial" w:cs="Arial"/>
        </w:rPr>
        <w:t xml:space="preserve"> Dar causa à inexecução parcial do contrato que cause grave dano à Administração, ao funcionamento dos serviços públicos ou ao interesse coletivo.</w:t>
      </w:r>
      <w:r/>
    </w:p>
    <w:p w14:paraId="0362B4F4" w14:textId="77777777">
      <w:pPr>
        <w:pBdr/>
        <w:spacing/>
        <w:ind/>
        <w:jc w:val="both"/>
        <w:rPr>
          <w:rFonts w:ascii="Arial" w:cs="Arial"/>
        </w:rPr>
      </w:pPr>
      <w:r>
        <w:rPr>
          <w:rFonts w:ascii="Arial" w:cs="Arial"/>
        </w:rPr>
      </w:r>
      <w:r>
        <w:rPr>
          <w:rFonts w:ascii="Arial" w:cs="Arial"/>
        </w:rPr>
      </w:r>
    </w:p>
    <w:p w14:paraId="7CC4AF9B" w14:textId="77777777">
      <w:pPr>
        <w:pBdr/>
        <w:spacing/>
        <w:ind/>
        <w:jc w:val="both"/>
        <w:rPr/>
      </w:pPr>
      <w:r>
        <w:rPr>
          <w:rFonts w:ascii="Arial" w:hAnsi="Arial" w:cs="Arial"/>
          <w:b/>
        </w:rPr>
        <w:t xml:space="preserve">16.1.2.</w:t>
      </w:r>
      <w:r>
        <w:rPr>
          <w:rFonts w:ascii="Arial" w:hAnsi="Arial" w:cs="Arial"/>
        </w:rPr>
        <w:t xml:space="preserve"> Dar causa à inexecução total do contrato. </w:t>
      </w:r>
      <w:r/>
    </w:p>
    <w:p w14:paraId="2091CBA4" w14:textId="77777777">
      <w:pPr>
        <w:pBdr/>
        <w:spacing/>
        <w:ind/>
        <w:jc w:val="both"/>
        <w:rPr>
          <w:rFonts w:ascii="Arial" w:cs="Arial"/>
        </w:rPr>
      </w:pPr>
      <w:r>
        <w:rPr>
          <w:rFonts w:ascii="Arial" w:cs="Arial"/>
        </w:rPr>
      </w:r>
      <w:r>
        <w:rPr>
          <w:rFonts w:ascii="Arial" w:cs="Arial"/>
        </w:rPr>
      </w:r>
    </w:p>
    <w:p w14:paraId="143E0FA6" w14:textId="77777777">
      <w:pPr>
        <w:pBdr/>
        <w:spacing/>
        <w:ind/>
        <w:jc w:val="both"/>
        <w:rPr/>
      </w:pPr>
      <w:r>
        <w:rPr>
          <w:rFonts w:ascii="Arial" w:hAnsi="Arial" w:cs="Arial"/>
          <w:b/>
        </w:rPr>
        <w:t xml:space="preserve">16.1.3.</w:t>
      </w:r>
      <w:r>
        <w:rPr>
          <w:rFonts w:ascii="Arial" w:hAnsi="Arial" w:cs="Arial"/>
        </w:rPr>
        <w:t xml:space="preserve"> Não celebrar o contrato ou não entregar a documentação exigida para a contratação, quando convocado dentro do prazo de validade de sua proposta.</w:t>
      </w:r>
      <w:r/>
    </w:p>
    <w:p w14:paraId="2BEB0835" w14:textId="77777777">
      <w:pPr>
        <w:pBdr/>
        <w:spacing/>
        <w:ind/>
        <w:jc w:val="both"/>
        <w:rPr>
          <w:rFonts w:ascii="Arial" w:cs="Arial"/>
        </w:rPr>
      </w:pPr>
      <w:r>
        <w:rPr>
          <w:rFonts w:ascii="Arial" w:cs="Arial"/>
        </w:rPr>
      </w:r>
      <w:r>
        <w:rPr>
          <w:rFonts w:ascii="Arial" w:cs="Arial"/>
        </w:rPr>
      </w:r>
    </w:p>
    <w:p w14:paraId="72A695DE" w14:textId="77777777">
      <w:pPr>
        <w:pBdr/>
        <w:spacing/>
        <w:ind/>
        <w:jc w:val="both"/>
        <w:rPr/>
      </w:pPr>
      <w:r>
        <w:rPr>
          <w:rFonts w:ascii="Arial" w:hAnsi="Arial" w:cs="Arial"/>
          <w:b/>
        </w:rPr>
        <w:t xml:space="preserve">16.1.4.</w:t>
      </w:r>
      <w:r>
        <w:rPr>
          <w:rFonts w:ascii="Arial" w:hAnsi="Arial" w:cs="Arial"/>
        </w:rPr>
        <w:t xml:space="preserve"> Ensejar o retardamento da execução ou da entrega do objeto da licitação sem motivo justificado.</w:t>
      </w:r>
      <w:r/>
    </w:p>
    <w:p w14:paraId="7BD063D3" w14:textId="77777777">
      <w:pPr>
        <w:pBdr/>
        <w:spacing/>
        <w:ind/>
        <w:jc w:val="both"/>
        <w:rPr>
          <w:rFonts w:ascii="Arial" w:cs="Arial"/>
          <w:b/>
        </w:rPr>
      </w:pPr>
      <w:r>
        <w:rPr>
          <w:rFonts w:ascii="Arial" w:cs="Arial"/>
          <w:b/>
        </w:rPr>
      </w:r>
      <w:r>
        <w:rPr>
          <w:rFonts w:ascii="Arial" w:cs="Arial"/>
          <w:b/>
        </w:rPr>
      </w:r>
    </w:p>
    <w:p w14:paraId="0492915D" w14:textId="77777777">
      <w:pPr>
        <w:pBdr/>
        <w:spacing/>
        <w:ind/>
        <w:jc w:val="both"/>
        <w:rPr/>
      </w:pPr>
      <w:r>
        <w:rPr>
          <w:rFonts w:ascii="Arial" w:hAnsi="Arial" w:cs="Arial"/>
          <w:b/>
        </w:rPr>
        <w:t xml:space="preserve">16.1.5.</w:t>
      </w:r>
      <w:r>
        <w:rPr>
          <w:rFonts w:ascii="Arial" w:hAnsi="Arial" w:cs="Arial"/>
        </w:rPr>
        <w:t xml:space="preserve"> Apresentar declaração ou documentação falsa exigida para o certame ou prestar declaração falsa durante a licitação ou a execução do contrato.</w:t>
      </w:r>
      <w:r/>
    </w:p>
    <w:p w14:paraId="05DF4C12" w14:textId="77777777">
      <w:pPr>
        <w:pBdr/>
        <w:spacing/>
        <w:ind/>
        <w:jc w:val="both"/>
        <w:rPr>
          <w:rFonts w:ascii="Arial" w:cs="Arial"/>
        </w:rPr>
      </w:pPr>
      <w:r>
        <w:rPr>
          <w:rFonts w:ascii="Arial" w:cs="Arial"/>
        </w:rPr>
      </w:r>
      <w:r>
        <w:rPr>
          <w:rFonts w:ascii="Arial" w:cs="Arial"/>
        </w:rPr>
      </w:r>
    </w:p>
    <w:p w14:paraId="6275F341" w14:textId="77777777">
      <w:pPr>
        <w:pBdr/>
        <w:spacing/>
        <w:ind/>
        <w:jc w:val="both"/>
        <w:rPr/>
      </w:pPr>
      <w:r>
        <w:rPr>
          <w:rFonts w:ascii="Arial" w:hAnsi="Arial" w:cs="Arial"/>
          <w:b/>
        </w:rPr>
        <w:t xml:space="preserve">16.1.6. </w:t>
      </w:r>
      <w:r>
        <w:rPr>
          <w:rFonts w:ascii="Arial" w:hAnsi="Arial" w:cs="Arial"/>
        </w:rPr>
        <w:t xml:space="preserve">Fraudar a licitação ou praticar ato fraudulento na execução do contrato.</w:t>
      </w:r>
      <w:r/>
    </w:p>
    <w:p w14:paraId="6201DE9A" w14:textId="77777777">
      <w:pPr>
        <w:pBdr/>
        <w:spacing/>
        <w:ind/>
        <w:jc w:val="both"/>
        <w:rPr>
          <w:rFonts w:ascii="Arial" w:cs="Arial"/>
        </w:rPr>
      </w:pPr>
      <w:r>
        <w:rPr>
          <w:rFonts w:ascii="Arial" w:cs="Arial"/>
        </w:rPr>
      </w:r>
      <w:r>
        <w:rPr>
          <w:rFonts w:ascii="Arial" w:cs="Arial"/>
        </w:rPr>
      </w:r>
    </w:p>
    <w:p w14:paraId="7CC5998D" w14:textId="77777777">
      <w:pPr>
        <w:pBdr/>
        <w:spacing/>
        <w:ind/>
        <w:jc w:val="both"/>
        <w:rPr/>
      </w:pPr>
      <w:r>
        <w:rPr>
          <w:rFonts w:ascii="Arial" w:hAnsi="Arial" w:cs="Arial"/>
          <w:b/>
        </w:rPr>
        <w:t xml:space="preserve">16.1.7.</w:t>
      </w:r>
      <w:r>
        <w:rPr>
          <w:rFonts w:ascii="Arial" w:hAnsi="Arial" w:cs="Arial"/>
        </w:rPr>
        <w:t xml:space="preserve"> Comportar-se de modo inidôneo ou cometer fraude de qualquer natureza.</w:t>
      </w:r>
      <w:r/>
    </w:p>
    <w:p w14:paraId="43A0ADBC" w14:textId="77777777">
      <w:pPr>
        <w:pBdr/>
        <w:spacing/>
        <w:ind/>
        <w:jc w:val="both"/>
        <w:rPr>
          <w:rFonts w:ascii="Arial" w:cs="Arial"/>
        </w:rPr>
      </w:pPr>
      <w:r>
        <w:rPr>
          <w:rFonts w:ascii="Arial" w:cs="Arial"/>
        </w:rPr>
      </w:r>
      <w:r>
        <w:rPr>
          <w:rFonts w:ascii="Arial" w:cs="Arial"/>
        </w:rPr>
      </w:r>
    </w:p>
    <w:p w14:paraId="0635D45A" w14:textId="77777777">
      <w:pPr>
        <w:pBdr/>
        <w:spacing/>
        <w:ind/>
        <w:jc w:val="both"/>
        <w:rPr/>
      </w:pPr>
      <w:r>
        <w:rPr>
          <w:rFonts w:ascii="Arial" w:hAnsi="Arial" w:cs="Arial"/>
          <w:b/>
        </w:rPr>
        <w:t xml:space="preserve">16.1.8.</w:t>
      </w:r>
      <w:r>
        <w:rPr>
          <w:rFonts w:ascii="Arial" w:hAnsi="Arial" w:cs="Arial"/>
        </w:rPr>
        <w:t xml:space="preserve"> Praticar atos ilícitos com vistas a frustrar os objetivos da licitação.</w:t>
      </w:r>
      <w:r/>
    </w:p>
    <w:p w14:paraId="5A202602" w14:textId="77777777">
      <w:pPr>
        <w:pBdr/>
        <w:spacing/>
        <w:ind/>
        <w:jc w:val="both"/>
        <w:rPr>
          <w:rFonts w:ascii="Arial" w:cs="Arial"/>
        </w:rPr>
      </w:pPr>
      <w:r>
        <w:rPr>
          <w:rFonts w:ascii="Arial" w:cs="Arial"/>
        </w:rPr>
      </w:r>
      <w:r>
        <w:rPr>
          <w:rFonts w:ascii="Arial" w:cs="Arial"/>
        </w:rPr>
      </w:r>
    </w:p>
    <w:p w14:paraId="1E5F061A" w14:textId="77777777">
      <w:pPr>
        <w:pBdr/>
        <w:spacing/>
        <w:ind/>
        <w:jc w:val="both"/>
        <w:rPr/>
      </w:pPr>
      <w:r>
        <w:rPr>
          <w:rFonts w:ascii="Arial" w:hAnsi="Arial" w:cs="Arial"/>
          <w:b/>
        </w:rPr>
        <w:t xml:space="preserve">16.1.9.</w:t>
      </w:r>
      <w:r>
        <w:rPr>
          <w:rFonts w:ascii="Arial" w:hAnsi="Arial" w:cs="Arial"/>
        </w:rPr>
        <w:t xml:space="preserve"> Praticar ato lesivo previsto no art. 5º, da Lei nº 12.846/2013.</w:t>
      </w:r>
      <w:r/>
    </w:p>
    <w:p w14:paraId="3E79D216" w14:textId="77777777">
      <w:pPr>
        <w:pBdr/>
        <w:spacing/>
        <w:ind/>
        <w:jc w:val="both"/>
        <w:rPr>
          <w:rFonts w:ascii="Arial" w:cs="Arial"/>
        </w:rPr>
      </w:pPr>
      <w:r>
        <w:rPr>
          <w:rFonts w:ascii="Arial" w:cs="Arial"/>
        </w:rPr>
      </w:r>
      <w:r>
        <w:rPr>
          <w:rFonts w:ascii="Arial" w:cs="Arial"/>
        </w:rPr>
      </w:r>
    </w:p>
    <w:p w14:paraId="627D6A23" w14:textId="77777777">
      <w:pPr>
        <w:pBdr/>
        <w:spacing/>
        <w:ind/>
        <w:jc w:val="both"/>
        <w:rPr/>
      </w:pPr>
      <w:r>
        <w:rPr>
          <w:rFonts w:ascii="Arial" w:hAnsi="Arial" w:cs="Arial"/>
          <w:b/>
        </w:rPr>
        <w:t xml:space="preserve">16.2.</w:t>
      </w:r>
      <w:r>
        <w:rPr>
          <w:rFonts w:ascii="Arial" w:hAnsi="Arial" w:cs="Arial"/>
        </w:rPr>
        <w:t xml:space="preserve"> Serão aplicadas ao contratado que incorrer nas infrações acima descritas as seguintes sanções:</w:t>
      </w:r>
      <w:r/>
    </w:p>
    <w:p w14:paraId="005D99E2" w14:textId="77777777">
      <w:pPr>
        <w:pBdr/>
        <w:spacing/>
        <w:ind/>
        <w:jc w:val="both"/>
        <w:rPr>
          <w:rFonts w:ascii="Arial" w:cs="Arial"/>
        </w:rPr>
      </w:pPr>
      <w:r>
        <w:rPr>
          <w:rFonts w:ascii="Arial" w:cs="Arial"/>
        </w:rPr>
      </w:r>
      <w:r>
        <w:rPr>
          <w:rFonts w:ascii="Arial" w:cs="Arial"/>
        </w:rPr>
      </w:r>
    </w:p>
    <w:p w14:paraId="21E52C6D" w14:textId="77777777">
      <w:pPr>
        <w:pBdr/>
        <w:spacing/>
        <w:ind/>
        <w:jc w:val="both"/>
        <w:rPr/>
      </w:pPr>
      <w:r>
        <w:rPr>
          <w:rFonts w:ascii="Arial" w:hAnsi="Arial" w:cs="Arial"/>
          <w:b/>
        </w:rPr>
        <w:t xml:space="preserve">16.2.1.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p>
    <w:p w14:paraId="6FE60359" w14:textId="77777777">
      <w:pPr>
        <w:pBdr/>
        <w:spacing/>
        <w:ind/>
        <w:jc w:val="both"/>
        <w:rPr>
          <w:rFonts w:ascii="Arial" w:cs="Arial"/>
        </w:rPr>
      </w:pPr>
      <w:r>
        <w:rPr>
          <w:rFonts w:ascii="Arial" w:cs="Arial"/>
        </w:rPr>
      </w:r>
      <w:r>
        <w:rPr>
          <w:rFonts w:ascii="Arial" w:cs="Arial"/>
        </w:rPr>
      </w:r>
    </w:p>
    <w:p w14:paraId="661B6CEF" w14:textId="77777777">
      <w:pPr>
        <w:pBdr/>
        <w:spacing/>
        <w:ind/>
        <w:jc w:val="both"/>
        <w:rPr/>
      </w:pPr>
      <w:r>
        <w:rPr>
          <w:rFonts w:ascii="Arial" w:hAnsi="Arial" w:cs="Arial"/>
          <w:b/>
        </w:rPr>
        <w:t xml:space="preserve">16.2.2.</w:t>
      </w:r>
      <w:r>
        <w:rPr>
          <w:rFonts w:ascii="Arial" w:hAnsi="Arial" w:cs="Arial"/>
        </w:rPr>
        <w:t xml:space="preserve"> Multa:</w:t>
      </w:r>
      <w:r/>
    </w:p>
    <w:p w14:paraId="452EF38D" w14:textId="77777777">
      <w:pPr>
        <w:pBdr/>
        <w:spacing/>
        <w:ind/>
        <w:jc w:val="both"/>
        <w:rPr>
          <w:rFonts w:ascii="Arial" w:cs="Arial"/>
        </w:rPr>
      </w:pPr>
      <w:r>
        <w:rPr>
          <w:rFonts w:ascii="Arial" w:cs="Arial"/>
        </w:rPr>
      </w:r>
      <w:r>
        <w:rPr>
          <w:rFonts w:ascii="Arial" w:cs="Arial"/>
        </w:rPr>
      </w:r>
    </w:p>
    <w:p w14:paraId="35424330" w14:textId="77777777">
      <w:pPr>
        <w:pBdr/>
        <w:spacing/>
        <w:ind/>
        <w:jc w:val="both"/>
        <w:rPr/>
      </w:pPr>
      <w:r>
        <w:rPr>
          <w:rFonts w:ascii="Arial" w:hAnsi="Arial" w:cs="Arial"/>
          <w:b/>
        </w:rPr>
        <w:t xml:space="preserve">16.2.2.1.</w:t>
      </w:r>
      <w:r>
        <w:rPr>
          <w:rFonts w:ascii="Arial" w:hAnsi="Arial" w:cs="Arial"/>
        </w:rPr>
        <w:t xml:space="preserve"> Moratória: em razão do atraso injustificado: na proporção de 5 % (cinco por cento) do valor da parcela inadimplida por dia de atraso injustificado até o limite de 30 (trinta) dias corridos.</w:t>
      </w:r>
      <w:r/>
    </w:p>
    <w:p w14:paraId="4A184F8B" w14:textId="77777777">
      <w:pPr>
        <w:pBdr/>
        <w:spacing/>
        <w:ind/>
        <w:jc w:val="both"/>
        <w:rPr>
          <w:rFonts w:ascii="Arial" w:cs="Arial"/>
        </w:rPr>
      </w:pPr>
      <w:r>
        <w:rPr>
          <w:rFonts w:ascii="Arial" w:cs="Arial"/>
        </w:rPr>
      </w:r>
      <w:r>
        <w:rPr>
          <w:rFonts w:ascii="Arial" w:cs="Arial"/>
        </w:rPr>
      </w:r>
    </w:p>
    <w:p w14:paraId="21B06FCC" w14:textId="77777777">
      <w:pPr>
        <w:pBdr/>
        <w:spacing/>
        <w:ind/>
        <w:jc w:val="both"/>
        <w:rPr/>
      </w:pPr>
      <w:r>
        <w:rPr>
          <w:rFonts w:ascii="Arial" w:hAnsi="Arial" w:cs="Arial"/>
          <w:b/>
        </w:rPr>
        <w:t xml:space="preserve">16.2.2.1.1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w:t>
      </w:r>
      <w:r/>
    </w:p>
    <w:p w14:paraId="08BDB8F5" w14:textId="77777777">
      <w:pPr>
        <w:pBdr/>
        <w:spacing/>
        <w:ind/>
        <w:jc w:val="both"/>
        <w:rPr/>
      </w:pPr>
      <w:r>
        <w:rPr>
          <w:rFonts w:ascii="Arial" w:hAnsi="Arial" w:cs="Arial"/>
        </w:rPr>
        <w:t xml:space="preserve">14.133, de 2021.</w:t>
      </w:r>
      <w:r/>
    </w:p>
    <w:p w14:paraId="716D4C4B" w14:textId="77777777">
      <w:pPr>
        <w:pBdr/>
        <w:spacing/>
        <w:ind/>
        <w:jc w:val="both"/>
        <w:rPr>
          <w:rFonts w:ascii="Arial" w:cs="Arial"/>
        </w:rPr>
      </w:pPr>
      <w:r>
        <w:rPr>
          <w:rFonts w:ascii="Arial" w:cs="Arial"/>
        </w:rPr>
      </w:r>
      <w:r>
        <w:rPr>
          <w:rFonts w:ascii="Arial" w:cs="Arial"/>
        </w:rPr>
      </w:r>
    </w:p>
    <w:p w14:paraId="0914C96B" w14:textId="77777777">
      <w:pPr>
        <w:pBdr/>
        <w:spacing/>
        <w:ind/>
        <w:jc w:val="both"/>
        <w:rPr/>
      </w:pPr>
      <w:r>
        <w:rPr>
          <w:rFonts w:ascii="Arial" w:hAnsi="Arial" w:cs="Arial"/>
          <w:b/>
        </w:rPr>
        <w:t xml:space="preserve">16.2.2.2.</w:t>
      </w:r>
      <w:r>
        <w:rPr>
          <w:rFonts w:ascii="Arial" w:hAnsi="Arial" w:cs="Arial"/>
        </w:rPr>
        <w:t xml:space="preserve"> Compensatória: será aplicada multa de 0,5% até 30% sobre o valor do contrato, devendo a autoridade competente observar, na dosimetria da pena, as seguintes recomendações:</w:t>
      </w:r>
      <w:r/>
    </w:p>
    <w:p w14:paraId="7D7FBE32" w14:textId="77777777">
      <w:pPr>
        <w:pBdr/>
        <w:spacing/>
        <w:ind/>
        <w:jc w:val="both"/>
        <w:rPr>
          <w:rFonts w:ascii="Arial" w:cs="Arial"/>
        </w:rPr>
      </w:pPr>
      <w:r>
        <w:rPr>
          <w:rFonts w:ascii="Arial" w:cs="Arial"/>
        </w:rPr>
      </w:r>
      <w:r>
        <w:rPr>
          <w:rFonts w:ascii="Arial" w:cs="Arial"/>
        </w:rPr>
      </w:r>
    </w:p>
    <w:p w14:paraId="28B08A70" w14:textId="77777777">
      <w:pPr>
        <w:pBdr/>
        <w:spacing/>
        <w:ind/>
        <w:jc w:val="both"/>
        <w:rPr/>
      </w:pPr>
      <w:r>
        <w:rPr>
          <w:rFonts w:ascii="Arial" w:hAnsi="Arial" w:cs="Arial"/>
          <w:b/>
        </w:rPr>
        <w:t xml:space="preserve">16.2.2.2.1. </w:t>
      </w:r>
      <w:r>
        <w:rPr>
          <w:rFonts w:ascii="Arial" w:hAnsi="Arial" w:cs="Arial"/>
        </w:rPr>
        <w:t xml:space="preserve">Em casos</w:t>
      </w:r>
      <w:r>
        <w:rPr>
          <w:rFonts w:ascii="Arial" w:hAnsi="Arial" w:cs="Arial"/>
        </w:rPr>
        <w:t xml:space="preserve"> de inexecução parcial do contrato, que cause grave dano à Administração, ao funcionamento dos serviços públicos ou ao interesse coletivo (ítem 16.1.1), bem como quantos aos itens: 16.1.3 e 16.1.4, a multa será de 0,5% a 15% do valor do contrato licitado. </w:t>
      </w:r>
      <w:r/>
    </w:p>
    <w:p w14:paraId="17BBB159" w14:textId="77777777">
      <w:pPr>
        <w:pBdr/>
        <w:spacing/>
        <w:ind/>
        <w:jc w:val="both"/>
        <w:rPr>
          <w:rFonts w:ascii="Arial" w:cs="Arial"/>
        </w:rPr>
      </w:pPr>
      <w:r>
        <w:rPr>
          <w:rFonts w:ascii="Arial" w:cs="Arial"/>
        </w:rPr>
      </w:r>
      <w:r>
        <w:rPr>
          <w:rFonts w:ascii="Arial" w:cs="Arial"/>
        </w:rPr>
      </w:r>
    </w:p>
    <w:p w14:paraId="168F61D3" w14:textId="77777777">
      <w:pPr>
        <w:pBdr/>
        <w:spacing/>
        <w:ind/>
        <w:jc w:val="both"/>
        <w:rPr/>
      </w:pPr>
      <w:r>
        <w:rPr>
          <w:rFonts w:ascii="Arial" w:hAnsi="Arial" w:cs="Arial"/>
          <w:b/>
        </w:rPr>
        <w:t xml:space="preserve">16.2.2.2.2.</w:t>
      </w:r>
      <w:r>
        <w:rPr>
          <w:rFonts w:ascii="Arial" w:hAnsi="Arial" w:cs="Arial"/>
        </w:rPr>
        <w:t xml:space="preserve"> Em casos de ine</w:t>
      </w:r>
      <w:r>
        <w:rPr>
          <w:rFonts w:ascii="Arial" w:hAnsi="Arial" w:cs="Arial"/>
        </w:rPr>
        <w:t xml:space="preserve">xecução total do contrato (ítem 16.1.2), bem como quanto aos itens: 16.1.5; 16.1.6; 16.1.7; 16.1.8 e 16.1.9) nas hipóteses de atos fraudulentos com o objetivo de obter vantagens indevidas, a multa será fixada entre 15% a 30% do valor do contrato licitado. </w:t>
      </w:r>
      <w:r/>
    </w:p>
    <w:p w14:paraId="15A8A1DD" w14:textId="77777777">
      <w:pPr>
        <w:pBdr/>
        <w:spacing/>
        <w:ind/>
        <w:jc w:val="both"/>
        <w:rPr>
          <w:rFonts w:ascii="Arial" w:cs="Arial"/>
        </w:rPr>
      </w:pPr>
      <w:r>
        <w:rPr>
          <w:rFonts w:ascii="Arial" w:cs="Arial"/>
        </w:rPr>
      </w:r>
      <w:r>
        <w:rPr>
          <w:rFonts w:ascii="Arial" w:cs="Arial"/>
        </w:rPr>
      </w:r>
    </w:p>
    <w:p w14:paraId="01565655" w14:textId="77777777">
      <w:pPr>
        <w:pBdr/>
        <w:spacing/>
        <w:ind/>
        <w:jc w:val="both"/>
        <w:rPr/>
      </w:pPr>
      <w:r>
        <w:rPr>
          <w:rFonts w:ascii="Arial" w:hAnsi="Arial" w:cs="Arial"/>
          <w:b/>
        </w:rPr>
        <w:t xml:space="preserve">16.2.2.2.3.</w:t>
      </w:r>
      <w:r>
        <w:rPr>
          <w:rFonts w:ascii="Arial" w:hAnsi="Arial" w:cs="Arial"/>
        </w:rPr>
        <w:t xml:space="preserve"> No caso de inexecução total, a multa será aplicada independentemente da existência ou não do prejuízo ao contratante, implicando ainda na possibilidade de rescisão do contrato.</w:t>
      </w:r>
      <w:r/>
    </w:p>
    <w:p w14:paraId="683AB373" w14:textId="77777777">
      <w:pPr>
        <w:pBdr/>
        <w:spacing/>
        <w:ind/>
        <w:jc w:val="both"/>
        <w:rPr>
          <w:rFonts w:ascii="Arial" w:cs="Arial"/>
        </w:rPr>
      </w:pPr>
      <w:r>
        <w:rPr>
          <w:rFonts w:ascii="Arial" w:cs="Arial"/>
        </w:rPr>
      </w:r>
      <w:r>
        <w:rPr>
          <w:rFonts w:ascii="Arial" w:cs="Arial"/>
        </w:rPr>
      </w:r>
    </w:p>
    <w:p w14:paraId="2F0321F0" w14:textId="77777777">
      <w:pPr>
        <w:pBdr/>
        <w:spacing/>
        <w:ind/>
        <w:jc w:val="both"/>
        <w:rPr/>
      </w:pPr>
      <w:r>
        <w:rPr>
          <w:rFonts w:ascii="Arial" w:hAnsi="Arial" w:cs="Arial"/>
          <w:b/>
        </w:rPr>
        <w:t xml:space="preserve">16.2.2.3.</w:t>
      </w:r>
      <w:r>
        <w:rPr>
          <w:rFonts w:ascii="Arial" w:hAnsi="Arial" w:cs="Arial"/>
        </w:rPr>
        <w:t xml:space="preserve"> Antes da aplicação da multa será facultada a defesa do interessado no prazo de 15 (quinze) dias úteis, contado da data de sua intimação.</w:t>
      </w:r>
      <w:r/>
    </w:p>
    <w:p w14:paraId="2639CD5B" w14:textId="77777777">
      <w:pPr>
        <w:pBdr/>
        <w:spacing/>
        <w:ind/>
        <w:jc w:val="both"/>
        <w:rPr>
          <w:rFonts w:ascii="Arial" w:cs="Arial"/>
        </w:rPr>
      </w:pPr>
      <w:r>
        <w:rPr>
          <w:rFonts w:ascii="Arial" w:cs="Arial"/>
        </w:rPr>
      </w:r>
      <w:r>
        <w:rPr>
          <w:rFonts w:ascii="Arial" w:cs="Arial"/>
        </w:rPr>
      </w:r>
    </w:p>
    <w:p w14:paraId="1287D562" w14:textId="77777777">
      <w:pPr>
        <w:pBdr/>
        <w:spacing/>
        <w:ind/>
        <w:jc w:val="both"/>
        <w:rPr/>
      </w:pPr>
      <w:r>
        <w:rPr>
          <w:rFonts w:ascii="Arial" w:hAnsi="Arial" w:cs="Arial"/>
          <w:b/>
        </w:rPr>
        <w:t xml:space="preserve">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p>
    <w:p w14:paraId="0011C25C" w14:textId="77777777">
      <w:pPr>
        <w:pBdr/>
        <w:spacing/>
        <w:ind/>
        <w:jc w:val="both"/>
        <w:rPr>
          <w:rFonts w:ascii="Arial" w:cs="Arial"/>
        </w:rPr>
      </w:pPr>
      <w:r>
        <w:rPr>
          <w:rFonts w:ascii="Arial" w:cs="Arial"/>
        </w:rPr>
      </w:r>
      <w:r>
        <w:rPr>
          <w:rFonts w:ascii="Arial" w:cs="Arial"/>
        </w:rPr>
      </w:r>
    </w:p>
    <w:p w14:paraId="4459E7E9" w14:textId="77777777">
      <w:pPr>
        <w:pBdr/>
        <w:spacing/>
        <w:ind/>
        <w:jc w:val="both"/>
        <w:rPr/>
      </w:pPr>
      <w:r>
        <w:rPr>
          <w:rFonts w:ascii="Arial" w:hAnsi="Arial" w:cs="Arial"/>
          <w:b/>
        </w:rPr>
        <w:t xml:space="preserve">16.2.2.5.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p>
    <w:p w14:paraId="4822C118" w14:textId="77777777">
      <w:pPr>
        <w:pBdr/>
        <w:spacing/>
        <w:ind/>
        <w:jc w:val="both"/>
        <w:rPr>
          <w:rFonts w:ascii="Arial" w:cs="Arial"/>
        </w:rPr>
      </w:pPr>
      <w:r>
        <w:rPr>
          <w:rFonts w:ascii="Arial" w:cs="Arial"/>
        </w:rPr>
      </w:r>
      <w:r>
        <w:rPr>
          <w:rFonts w:ascii="Arial" w:cs="Arial"/>
        </w:rPr>
      </w:r>
    </w:p>
    <w:p w14:paraId="785688F6" w14:textId="77777777">
      <w:pPr>
        <w:pBdr/>
        <w:spacing/>
        <w:ind/>
        <w:jc w:val="both"/>
        <w:rPr/>
      </w:pPr>
      <w:r>
        <w:rPr>
          <w:rFonts w:ascii="Arial" w:hAnsi="Arial" w:cs="Arial"/>
          <w:b/>
        </w:rPr>
        <w:t xml:space="preserve">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p>
    <w:p w14:paraId="2AD13E01" w14:textId="77777777">
      <w:pPr>
        <w:pBdr/>
        <w:spacing/>
        <w:ind/>
        <w:jc w:val="both"/>
        <w:rPr>
          <w:rFonts w:ascii="Arial" w:cs="Arial"/>
          <w:b/>
        </w:rPr>
      </w:pPr>
      <w:r>
        <w:rPr>
          <w:rFonts w:ascii="Arial" w:cs="Arial"/>
          <w:b/>
        </w:rPr>
      </w:r>
      <w:r>
        <w:rPr>
          <w:rFonts w:ascii="Arial" w:cs="Arial"/>
          <w:b/>
        </w:rPr>
      </w:r>
    </w:p>
    <w:p w14:paraId="384470EC" w14:textId="77777777">
      <w:pPr>
        <w:pBdr/>
        <w:spacing/>
        <w:ind/>
        <w:jc w:val="both"/>
        <w:rPr/>
      </w:pPr>
      <w:r>
        <w:rPr>
          <w:rFonts w:ascii="Arial" w:hAnsi="Arial" w:cs="Arial"/>
          <w:b/>
        </w:rPr>
        <w:t xml:space="preserve">16.2.2.7.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p>
    <w:p w14:paraId="34ACEF4B" w14:textId="77777777">
      <w:pPr>
        <w:pBdr/>
        <w:spacing/>
        <w:ind/>
        <w:jc w:val="both"/>
        <w:rPr>
          <w:rFonts w:ascii="Arial" w:cs="Arial"/>
        </w:rPr>
      </w:pPr>
      <w:r>
        <w:rPr>
          <w:rFonts w:ascii="Arial" w:cs="Arial"/>
        </w:rPr>
      </w:r>
      <w:r>
        <w:rPr>
          <w:rFonts w:ascii="Arial" w:cs="Arial"/>
        </w:rPr>
      </w:r>
    </w:p>
    <w:p w14:paraId="6964D6C0" w14:textId="77777777">
      <w:pPr>
        <w:pBdr/>
        <w:spacing/>
        <w:ind/>
        <w:jc w:val="both"/>
        <w:rPr/>
      </w:pPr>
      <w:r>
        <w:rPr>
          <w:rFonts w:ascii="Arial" w:hAnsi="Arial" w:cs="Arial"/>
          <w:b/>
        </w:rPr>
        <w:t xml:space="preserve">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p>
    <w:p w14:paraId="5C8F8107" w14:textId="77777777">
      <w:pPr>
        <w:pBdr/>
        <w:spacing/>
        <w:ind/>
        <w:jc w:val="both"/>
        <w:rPr>
          <w:rFonts w:ascii="Arial" w:cs="Arial"/>
        </w:rPr>
      </w:pPr>
      <w:r>
        <w:rPr>
          <w:rFonts w:ascii="Arial" w:cs="Arial"/>
        </w:rPr>
      </w:r>
      <w:r>
        <w:rPr>
          <w:rFonts w:ascii="Arial" w:cs="Arial"/>
        </w:rPr>
      </w:r>
    </w:p>
    <w:p w14:paraId="0855DE5C" w14:textId="77777777">
      <w:pPr>
        <w:pBdr/>
        <w:spacing/>
        <w:ind/>
        <w:jc w:val="both"/>
        <w:rPr/>
      </w:pPr>
      <w:r>
        <w:rPr>
          <w:rFonts w:ascii="Arial" w:hAnsi="Arial" w:cs="Arial"/>
          <w:b/>
        </w:rPr>
        <w:t xml:space="preserve">16.2.3.</w:t>
      </w:r>
      <w:r>
        <w:rPr>
          <w:rFonts w:ascii="Arial" w:hAnsi="Arial" w:cs="Arial"/>
        </w:rPr>
        <w:t xml:space="preserve"> Impedimento de licitar e contratar, caso não se justifique imposição de penalidade mais grave.</w:t>
      </w:r>
      <w:r/>
    </w:p>
    <w:p w14:paraId="614029B7" w14:textId="77777777">
      <w:pPr>
        <w:pBdr/>
        <w:spacing/>
        <w:ind/>
        <w:jc w:val="both"/>
        <w:rPr>
          <w:rFonts w:ascii="Arial" w:cs="Arial"/>
        </w:rPr>
      </w:pPr>
      <w:r>
        <w:rPr>
          <w:rFonts w:ascii="Arial" w:cs="Arial"/>
        </w:rPr>
      </w:r>
      <w:r>
        <w:rPr>
          <w:rFonts w:ascii="Arial" w:cs="Arial"/>
        </w:rPr>
      </w:r>
    </w:p>
    <w:p w14:paraId="758D3774" w14:textId="77777777">
      <w:pPr>
        <w:pBdr/>
        <w:spacing/>
        <w:ind/>
        <w:jc w:val="both"/>
        <w:rPr/>
      </w:pPr>
      <w:r>
        <w:rPr>
          <w:rFonts w:ascii="Arial" w:hAnsi="Arial" w:cs="Arial"/>
          <w:b/>
        </w:rPr>
        <w:t xml:space="preserve">16.2.3.1.</w:t>
      </w:r>
      <w:r>
        <w:rPr>
          <w:rFonts w:ascii="Arial" w:hAnsi="Arial" w:cs="Arial"/>
        </w:rPr>
        <w:t xml:space="preserve"> Essa penalidade poderá ser aplicada nas seguintes hipóteses:</w:t>
      </w:r>
      <w:r/>
    </w:p>
    <w:p w14:paraId="45956583" w14:textId="77777777">
      <w:pPr>
        <w:pBdr/>
        <w:spacing/>
        <w:ind/>
        <w:jc w:val="both"/>
        <w:rPr>
          <w:rFonts w:ascii="Arial" w:cs="Arial"/>
        </w:rPr>
      </w:pPr>
      <w:r>
        <w:rPr>
          <w:rFonts w:ascii="Arial" w:cs="Arial"/>
        </w:rPr>
      </w:r>
      <w:r>
        <w:rPr>
          <w:rFonts w:ascii="Arial" w:cs="Arial"/>
        </w:rPr>
      </w:r>
    </w:p>
    <w:p w14:paraId="0F641C8C" w14:textId="77777777">
      <w:pPr>
        <w:pBdr/>
        <w:spacing/>
        <w:ind/>
        <w:jc w:val="both"/>
        <w:rPr/>
      </w:pPr>
      <w:r>
        <w:rPr>
          <w:rFonts w:ascii="Arial" w:hAnsi="Arial" w:cs="Arial"/>
          <w:b/>
        </w:rPr>
        <w:t xml:space="preserve">16.2.3.1.1.</w:t>
      </w:r>
      <w:r>
        <w:rPr>
          <w:rFonts w:ascii="Arial" w:hAnsi="Arial" w:cs="Arial"/>
        </w:rPr>
        <w:t xml:space="preserve"> Der causa à inexecução parcial do contrato que cause grave dano à Administração, ao funcionamento dos serviços públicos ou ao interesse coletivo;</w:t>
      </w:r>
      <w:r/>
    </w:p>
    <w:p w14:paraId="0EA7E50E" w14:textId="77777777">
      <w:pPr>
        <w:pBdr/>
        <w:spacing/>
        <w:ind/>
        <w:jc w:val="both"/>
        <w:rPr>
          <w:rFonts w:ascii="Arial" w:cs="Arial"/>
          <w:b/>
        </w:rPr>
      </w:pPr>
      <w:r>
        <w:rPr>
          <w:rFonts w:ascii="Arial" w:cs="Arial"/>
          <w:b/>
        </w:rPr>
      </w:r>
      <w:r>
        <w:rPr>
          <w:rFonts w:ascii="Arial" w:cs="Arial"/>
          <w:b/>
        </w:rPr>
      </w:r>
    </w:p>
    <w:p w14:paraId="5A0AF46B" w14:textId="77777777">
      <w:pPr>
        <w:pBdr/>
        <w:spacing/>
        <w:ind/>
        <w:jc w:val="both"/>
        <w:rPr/>
      </w:pPr>
      <w:r>
        <w:rPr>
          <w:rFonts w:ascii="Arial" w:hAnsi="Arial" w:cs="Arial"/>
          <w:b/>
        </w:rPr>
        <w:t xml:space="preserve">16.2.3.1.2</w:t>
      </w:r>
      <w:r>
        <w:rPr>
          <w:rFonts w:ascii="Arial" w:hAnsi="Arial" w:cs="Arial"/>
        </w:rPr>
        <w:t xml:space="preserve">. Der causa à inexecução total do contrato;</w:t>
      </w:r>
      <w:r/>
    </w:p>
    <w:p w14:paraId="714F9EC2" w14:textId="77777777">
      <w:pPr>
        <w:pBdr/>
        <w:spacing/>
        <w:ind/>
        <w:jc w:val="both"/>
        <w:rPr>
          <w:rFonts w:ascii="Arial" w:cs="Arial"/>
        </w:rPr>
      </w:pPr>
      <w:r>
        <w:rPr>
          <w:rFonts w:ascii="Arial" w:cs="Arial"/>
        </w:rPr>
      </w:r>
      <w:r>
        <w:rPr>
          <w:rFonts w:ascii="Arial" w:cs="Arial"/>
        </w:rPr>
      </w:r>
    </w:p>
    <w:p w14:paraId="168A7C47" w14:textId="77777777">
      <w:pPr>
        <w:pBdr/>
        <w:spacing/>
        <w:ind/>
        <w:jc w:val="both"/>
        <w:rPr/>
      </w:pPr>
      <w:r>
        <w:rPr>
          <w:rFonts w:ascii="Arial" w:hAnsi="Arial" w:cs="Arial"/>
          <w:b/>
        </w:rPr>
        <w:t xml:space="preserve">16.2.3.1.3</w:t>
      </w:r>
      <w:r>
        <w:rPr>
          <w:rFonts w:ascii="Arial" w:hAnsi="Arial" w:cs="Arial"/>
        </w:rPr>
        <w:t xml:space="preserve">. Deixar de entregar a documentação exigida para o certame;</w:t>
      </w:r>
      <w:r/>
    </w:p>
    <w:p w14:paraId="59CE76C0" w14:textId="77777777">
      <w:pPr>
        <w:pBdr/>
        <w:spacing/>
        <w:ind/>
        <w:jc w:val="both"/>
        <w:rPr>
          <w:rFonts w:ascii="Arial" w:cs="Arial"/>
        </w:rPr>
      </w:pPr>
      <w:r>
        <w:rPr>
          <w:rFonts w:ascii="Arial" w:cs="Arial"/>
        </w:rPr>
      </w:r>
      <w:r>
        <w:rPr>
          <w:rFonts w:ascii="Arial" w:cs="Arial"/>
        </w:rPr>
      </w:r>
    </w:p>
    <w:p w14:paraId="60AE7E1D" w14:textId="77777777">
      <w:pPr>
        <w:pBdr/>
        <w:spacing/>
        <w:ind/>
        <w:jc w:val="both"/>
        <w:rPr/>
      </w:pPr>
      <w:r>
        <w:rPr>
          <w:rFonts w:ascii="Arial" w:hAnsi="Arial" w:cs="Arial"/>
          <w:b/>
        </w:rPr>
        <w:t xml:space="preserve">16.2.3.1.4</w:t>
      </w:r>
      <w:r>
        <w:rPr>
          <w:rFonts w:ascii="Arial" w:hAnsi="Arial" w:cs="Arial"/>
        </w:rPr>
        <w:t xml:space="preserve">. Não manter a proposta, salvo em decorrência de fato superveniente devidamente justificado;</w:t>
      </w:r>
      <w:r/>
    </w:p>
    <w:p w14:paraId="2128FAA0" w14:textId="77777777">
      <w:pPr>
        <w:pBdr/>
        <w:spacing/>
        <w:ind/>
        <w:jc w:val="both"/>
        <w:rPr>
          <w:rFonts w:ascii="Arial" w:cs="Arial"/>
        </w:rPr>
      </w:pPr>
      <w:r>
        <w:rPr>
          <w:rFonts w:ascii="Arial" w:cs="Arial"/>
        </w:rPr>
      </w:r>
      <w:r>
        <w:rPr>
          <w:rFonts w:ascii="Arial" w:cs="Arial"/>
        </w:rPr>
      </w:r>
    </w:p>
    <w:p w14:paraId="3C2388AB" w14:textId="77777777">
      <w:pPr>
        <w:pBdr/>
        <w:spacing/>
        <w:ind/>
        <w:jc w:val="both"/>
        <w:rPr/>
      </w:pPr>
      <w:r>
        <w:rPr>
          <w:rFonts w:ascii="Arial" w:hAnsi="Arial" w:cs="Arial"/>
          <w:b/>
        </w:rPr>
        <w:t xml:space="preserve">16.2.3.1.5.</w:t>
      </w:r>
      <w:r>
        <w:rPr>
          <w:rFonts w:ascii="Arial" w:hAnsi="Arial" w:cs="Arial"/>
        </w:rPr>
        <w:t xml:space="preserve"> Não celebrar o contrato ou não entregar a documentação exigida para a contratação, quando convocado dentro do prazo de validade de sua proposta;</w:t>
      </w:r>
      <w:r/>
    </w:p>
    <w:p w14:paraId="3A3ED8F8" w14:textId="77777777">
      <w:pPr>
        <w:pBdr/>
        <w:spacing/>
        <w:ind/>
        <w:jc w:val="both"/>
        <w:rPr>
          <w:rFonts w:ascii="Arial" w:cs="Arial"/>
        </w:rPr>
      </w:pPr>
      <w:r>
        <w:rPr>
          <w:rFonts w:ascii="Arial" w:cs="Arial"/>
        </w:rPr>
      </w:r>
      <w:r>
        <w:rPr>
          <w:rFonts w:ascii="Arial" w:cs="Arial"/>
        </w:rPr>
      </w:r>
    </w:p>
    <w:p w14:paraId="18167B90" w14:textId="77777777">
      <w:pPr>
        <w:pBdr/>
        <w:spacing/>
        <w:ind/>
        <w:jc w:val="both"/>
        <w:rPr/>
      </w:pPr>
      <w:r>
        <w:rPr>
          <w:rFonts w:ascii="Arial" w:hAnsi="Arial" w:cs="Arial"/>
          <w:b/>
        </w:rPr>
        <w:t xml:space="preserve">16.2.3.1.6.</w:t>
      </w:r>
      <w:r>
        <w:rPr>
          <w:rFonts w:ascii="Arial" w:hAnsi="Arial" w:cs="Arial"/>
        </w:rPr>
        <w:t xml:space="preserve"> Ensejar o retardamento da execução ou da entrega do objeto da licitação sem motivo justificado.</w:t>
      </w:r>
      <w:r/>
    </w:p>
    <w:p w14:paraId="318EF225" w14:textId="77777777">
      <w:pPr>
        <w:pBdr/>
        <w:spacing/>
        <w:ind/>
        <w:jc w:val="both"/>
        <w:rPr>
          <w:rFonts w:ascii="Arial" w:cs="Arial"/>
        </w:rPr>
      </w:pPr>
      <w:r>
        <w:rPr>
          <w:rFonts w:ascii="Arial" w:cs="Arial"/>
        </w:rPr>
      </w:r>
      <w:r>
        <w:rPr>
          <w:rFonts w:ascii="Arial" w:cs="Arial"/>
        </w:rPr>
      </w:r>
    </w:p>
    <w:p w14:paraId="53EC3D12" w14:textId="77777777">
      <w:pPr>
        <w:pBdr/>
        <w:spacing/>
        <w:ind/>
        <w:jc w:val="both"/>
        <w:rPr/>
      </w:pPr>
      <w:r>
        <w:rPr>
          <w:rFonts w:ascii="Arial" w:hAnsi="Arial" w:cs="Arial"/>
          <w:b/>
        </w:rPr>
        <w:t xml:space="preserve">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p>
    <w:p w14:paraId="28EFCE42" w14:textId="77777777">
      <w:pPr>
        <w:pBdr/>
        <w:spacing/>
        <w:ind/>
        <w:jc w:val="both"/>
        <w:rPr>
          <w:rFonts w:ascii="Arial" w:cs="Arial"/>
        </w:rPr>
      </w:pPr>
      <w:r>
        <w:rPr>
          <w:rFonts w:ascii="Arial" w:cs="Arial"/>
        </w:rPr>
      </w:r>
      <w:r>
        <w:rPr>
          <w:rFonts w:ascii="Arial" w:cs="Arial"/>
        </w:rPr>
      </w:r>
    </w:p>
    <w:p w14:paraId="12C870FA" w14:textId="77777777">
      <w:pPr>
        <w:pBdr/>
        <w:spacing/>
        <w:ind/>
        <w:jc w:val="both"/>
        <w:rPr/>
      </w:pPr>
      <w:r>
        <w:rPr>
          <w:rFonts w:ascii="Arial" w:hAnsi="Arial" w:cs="Arial"/>
          <w:b/>
        </w:rPr>
        <w:t xml:space="preserve">16.2.4.1.</w:t>
      </w:r>
      <w:r>
        <w:rPr>
          <w:rFonts w:ascii="Arial" w:hAnsi="Arial" w:cs="Arial"/>
        </w:rPr>
        <w:t xml:space="preserve"> Declaração de inidoneidade para licitar e contratar.</w:t>
      </w:r>
      <w:r/>
    </w:p>
    <w:p w14:paraId="2EA2E6BC" w14:textId="77777777">
      <w:pPr>
        <w:pBdr/>
        <w:spacing/>
        <w:ind/>
        <w:jc w:val="both"/>
        <w:rPr>
          <w:rFonts w:ascii="Arial" w:cs="Arial"/>
        </w:rPr>
      </w:pPr>
      <w:r>
        <w:rPr>
          <w:rFonts w:ascii="Arial" w:cs="Arial"/>
        </w:rPr>
      </w:r>
      <w:r>
        <w:rPr>
          <w:rFonts w:ascii="Arial" w:cs="Arial"/>
        </w:rPr>
      </w:r>
    </w:p>
    <w:p w14:paraId="3A7A91D0" w14:textId="77777777">
      <w:pPr>
        <w:pBdr/>
        <w:spacing/>
        <w:ind/>
        <w:jc w:val="both"/>
        <w:rPr/>
      </w:pPr>
      <w:r>
        <w:rPr>
          <w:rFonts w:ascii="Arial" w:hAnsi="Arial" w:cs="Arial"/>
          <w:b/>
        </w:rPr>
        <w:t xml:space="preserve">16.2.4.2.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p>
    <w:p w14:paraId="0B38B866" w14:textId="77777777">
      <w:pPr>
        <w:pBdr/>
        <w:spacing/>
        <w:ind/>
        <w:jc w:val="both"/>
        <w:rPr>
          <w:rFonts w:ascii="Arial" w:cs="Arial"/>
        </w:rPr>
      </w:pPr>
      <w:r>
        <w:rPr>
          <w:rFonts w:ascii="Arial" w:cs="Arial"/>
        </w:rPr>
      </w:r>
      <w:r>
        <w:rPr>
          <w:rFonts w:ascii="Arial" w:cs="Arial"/>
        </w:rPr>
      </w:r>
    </w:p>
    <w:p w14:paraId="1A06E0BF" w14:textId="77777777">
      <w:pPr>
        <w:pBdr/>
        <w:spacing/>
        <w:ind/>
        <w:jc w:val="both"/>
        <w:rPr/>
      </w:pPr>
      <w:r>
        <w:rPr>
          <w:rFonts w:ascii="Arial" w:hAnsi="Arial" w:cs="Arial"/>
          <w:b/>
        </w:rPr>
        <w:t xml:space="preserve">16.2.4.2.1</w:t>
      </w:r>
      <w:r>
        <w:rPr>
          <w:rFonts w:ascii="Arial" w:hAnsi="Arial" w:cs="Arial"/>
        </w:rPr>
        <w:t xml:space="preserve">. Essa penalidade poderá ser aplicada nas seguintes hipóteses:</w:t>
      </w:r>
      <w:r/>
    </w:p>
    <w:p w14:paraId="14E8C200" w14:textId="77777777">
      <w:pPr>
        <w:pBdr/>
        <w:spacing/>
        <w:ind/>
        <w:jc w:val="both"/>
        <w:rPr>
          <w:rFonts w:ascii="Arial" w:cs="Arial"/>
        </w:rPr>
      </w:pPr>
      <w:r>
        <w:rPr>
          <w:rFonts w:ascii="Arial" w:cs="Arial"/>
        </w:rPr>
      </w:r>
      <w:r>
        <w:rPr>
          <w:rFonts w:ascii="Arial" w:cs="Arial"/>
        </w:rPr>
      </w:r>
    </w:p>
    <w:p w14:paraId="40673FD5" w14:textId="77777777">
      <w:pPr>
        <w:pBdr/>
        <w:spacing/>
        <w:ind/>
        <w:jc w:val="both"/>
        <w:rPr/>
      </w:pPr>
      <w:r>
        <w:rPr>
          <w:rFonts w:ascii="Arial" w:hAnsi="Arial" w:cs="Arial"/>
          <w:b/>
        </w:rPr>
        <w:t xml:space="preserve">16.2.4.2.1.</w:t>
      </w:r>
      <w:r>
        <w:rPr>
          <w:rFonts w:ascii="Arial" w:hAnsi="Arial" w:cs="Arial"/>
        </w:rPr>
        <w:t xml:space="preserve"> Apresentar declaração ou documentação falsa exigida para o certame ou prestar declaração falsa durante a licitação ou a execução do contrato;</w:t>
      </w:r>
      <w:r/>
    </w:p>
    <w:p w14:paraId="5408B34E" w14:textId="77777777">
      <w:pPr>
        <w:pBdr/>
        <w:spacing/>
        <w:ind/>
        <w:jc w:val="both"/>
        <w:rPr>
          <w:rFonts w:ascii="Arial" w:cs="Arial"/>
        </w:rPr>
      </w:pPr>
      <w:r>
        <w:rPr>
          <w:rFonts w:ascii="Arial" w:cs="Arial"/>
        </w:rPr>
      </w:r>
      <w:r>
        <w:rPr>
          <w:rFonts w:ascii="Arial" w:cs="Arial"/>
        </w:rPr>
      </w:r>
    </w:p>
    <w:p w14:paraId="6CD3AADF" w14:textId="77777777">
      <w:pPr>
        <w:pBdr/>
        <w:spacing/>
        <w:ind/>
        <w:jc w:val="both"/>
        <w:rPr/>
      </w:pPr>
      <w:r>
        <w:rPr>
          <w:rFonts w:ascii="Arial" w:hAnsi="Arial" w:cs="Arial"/>
          <w:b/>
        </w:rPr>
        <w:t xml:space="preserve">16.2.4.2.3.</w:t>
      </w:r>
      <w:r>
        <w:rPr>
          <w:rFonts w:ascii="Arial" w:hAnsi="Arial" w:cs="Arial"/>
        </w:rPr>
        <w:t xml:space="preserve"> Fraudar a licitação ou praticar ato fraudulento na execução do contrato;</w:t>
      </w:r>
      <w:r/>
    </w:p>
    <w:p w14:paraId="0F4F30AA" w14:textId="77777777">
      <w:pPr>
        <w:pBdr/>
        <w:spacing/>
        <w:ind/>
        <w:jc w:val="both"/>
        <w:rPr>
          <w:rFonts w:ascii="Arial" w:cs="Arial"/>
        </w:rPr>
      </w:pPr>
      <w:r>
        <w:rPr>
          <w:rFonts w:ascii="Arial" w:cs="Arial"/>
        </w:rPr>
      </w:r>
      <w:r>
        <w:rPr>
          <w:rFonts w:ascii="Arial" w:cs="Arial"/>
        </w:rPr>
      </w:r>
    </w:p>
    <w:p w14:paraId="6C0AA2C7" w14:textId="77777777">
      <w:pPr>
        <w:pBdr/>
        <w:spacing/>
        <w:ind/>
        <w:jc w:val="both"/>
        <w:rPr/>
      </w:pPr>
      <w:r>
        <w:rPr>
          <w:rFonts w:ascii="Arial" w:hAnsi="Arial" w:cs="Arial"/>
          <w:b/>
        </w:rPr>
        <w:t xml:space="preserve">16.2.4.2.4.</w:t>
      </w:r>
      <w:r>
        <w:rPr>
          <w:rFonts w:ascii="Arial" w:hAnsi="Arial" w:cs="Arial"/>
        </w:rPr>
        <w:t xml:space="preserve"> Comportar-se de modo inidôneo ou cometer fraude de qualquer natureza;</w:t>
      </w:r>
      <w:r/>
    </w:p>
    <w:p w14:paraId="6F138EE5" w14:textId="77777777">
      <w:pPr>
        <w:pBdr/>
        <w:spacing/>
        <w:ind/>
        <w:jc w:val="both"/>
        <w:rPr>
          <w:rFonts w:ascii="Arial" w:cs="Arial"/>
        </w:rPr>
      </w:pPr>
      <w:r>
        <w:rPr>
          <w:rFonts w:ascii="Arial" w:cs="Arial"/>
        </w:rPr>
      </w:r>
      <w:r>
        <w:rPr>
          <w:rFonts w:ascii="Arial" w:cs="Arial"/>
        </w:rPr>
      </w:r>
    </w:p>
    <w:p w14:paraId="5C5DE8E4" w14:textId="77777777">
      <w:pPr>
        <w:pBdr/>
        <w:spacing/>
        <w:ind/>
        <w:jc w:val="both"/>
        <w:rPr/>
      </w:pPr>
      <w:r>
        <w:rPr>
          <w:rFonts w:ascii="Arial" w:hAnsi="Arial" w:cs="Arial"/>
          <w:b/>
        </w:rPr>
        <w:t xml:space="preserve">16.2.4.2.5.</w:t>
      </w:r>
      <w:r>
        <w:rPr>
          <w:rFonts w:ascii="Arial" w:hAnsi="Arial" w:cs="Arial"/>
        </w:rPr>
        <w:t xml:space="preserve"> Praticar atos ilícitos com vistas a frustrar os objetivos da licitação;</w:t>
      </w:r>
      <w:r/>
    </w:p>
    <w:p w14:paraId="19BC5CDB" w14:textId="77777777">
      <w:pPr>
        <w:pBdr/>
        <w:spacing/>
        <w:ind/>
        <w:jc w:val="both"/>
        <w:rPr>
          <w:rFonts w:ascii="Arial" w:cs="Arial"/>
        </w:rPr>
      </w:pPr>
      <w:r>
        <w:rPr>
          <w:rFonts w:ascii="Arial" w:cs="Arial"/>
        </w:rPr>
      </w:r>
      <w:r>
        <w:rPr>
          <w:rFonts w:ascii="Arial" w:cs="Arial"/>
        </w:rPr>
      </w:r>
    </w:p>
    <w:p w14:paraId="6A42F1DB" w14:textId="77777777">
      <w:pPr>
        <w:pBdr/>
        <w:spacing/>
        <w:ind/>
        <w:jc w:val="both"/>
        <w:rPr/>
      </w:pPr>
      <w:r>
        <w:rPr>
          <w:rFonts w:ascii="Arial" w:hAnsi="Arial" w:cs="Arial"/>
          <w:b/>
        </w:rPr>
        <w:t xml:space="preserve">16.2.4.2.6.</w:t>
      </w:r>
      <w:r>
        <w:rPr>
          <w:rFonts w:ascii="Arial" w:hAnsi="Arial" w:cs="Arial"/>
        </w:rPr>
        <w:t xml:space="preserve"> Praticar ato lesivo previsto no art. 5º da Lei nº 12.846/2013.</w:t>
      </w:r>
      <w:r/>
    </w:p>
    <w:p w14:paraId="25455685" w14:textId="77777777">
      <w:pPr>
        <w:pBdr/>
        <w:spacing/>
        <w:ind/>
        <w:jc w:val="both"/>
        <w:rPr>
          <w:rFonts w:ascii="Arial" w:cs="Arial"/>
        </w:rPr>
      </w:pPr>
      <w:r>
        <w:rPr>
          <w:rFonts w:ascii="Arial" w:cs="Arial"/>
        </w:rPr>
      </w:r>
      <w:r>
        <w:rPr>
          <w:rFonts w:ascii="Arial" w:cs="Arial"/>
        </w:rPr>
      </w:r>
    </w:p>
    <w:p w14:paraId="7014FEBC" w14:textId="77777777">
      <w:pPr>
        <w:pBdr/>
        <w:spacing/>
        <w:ind/>
        <w:jc w:val="both"/>
        <w:rPr/>
      </w:pPr>
      <w:r>
        <w:rPr>
          <w:rFonts w:ascii="Arial" w:hAnsi="Arial" w:cs="Arial"/>
          <w:b/>
        </w:rPr>
        <w:t xml:space="preserve">16.3.</w:t>
      </w:r>
      <w:r>
        <w:rPr>
          <w:rFonts w:ascii="Arial" w:hAnsi="Arial" w:cs="Arial"/>
        </w:rPr>
        <w:t xml:space="preserve"> Todas as sanções previstas neste Contrato poderão ser aplicadas cumulativamente com a multa (art. 156, §7º, da Lei nº 14.133, de 2021).</w:t>
      </w:r>
      <w:r/>
    </w:p>
    <w:p w14:paraId="707D6B01" w14:textId="77777777">
      <w:pPr>
        <w:pBdr/>
        <w:spacing/>
        <w:ind/>
        <w:jc w:val="both"/>
        <w:rPr>
          <w:rFonts w:ascii="Arial" w:cs="Arial"/>
        </w:rPr>
      </w:pPr>
      <w:r>
        <w:rPr>
          <w:rFonts w:ascii="Arial" w:cs="Arial"/>
        </w:rPr>
      </w:r>
      <w:r>
        <w:rPr>
          <w:rFonts w:ascii="Arial" w:cs="Arial"/>
        </w:rPr>
      </w:r>
    </w:p>
    <w:p w14:paraId="167EF72F" w14:textId="77777777">
      <w:pPr>
        <w:pBdr/>
        <w:spacing/>
        <w:ind/>
        <w:jc w:val="both"/>
        <w:rPr/>
      </w:pPr>
      <w:r>
        <w:rPr>
          <w:rFonts w:ascii="Arial" w:hAnsi="Arial" w:cs="Arial"/>
          <w:b/>
        </w:rPr>
        <w:t xml:space="preserve">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p>
    <w:p w14:paraId="1FDD7641" w14:textId="77777777">
      <w:pPr>
        <w:pBdr/>
        <w:spacing/>
        <w:ind/>
        <w:jc w:val="both"/>
        <w:rPr>
          <w:rFonts w:ascii="Arial" w:cs="Arial"/>
        </w:rPr>
      </w:pPr>
      <w:r>
        <w:rPr>
          <w:rFonts w:ascii="Arial" w:cs="Arial"/>
        </w:rPr>
      </w:r>
      <w:r>
        <w:rPr>
          <w:rFonts w:ascii="Arial" w:cs="Arial"/>
        </w:rPr>
      </w:r>
    </w:p>
    <w:p w14:paraId="0E0E6D97" w14:textId="77777777">
      <w:pPr>
        <w:pBdr/>
        <w:spacing/>
        <w:ind/>
        <w:jc w:val="both"/>
        <w:rPr/>
      </w:pPr>
      <w:r>
        <w:rPr>
          <w:rFonts w:ascii="Arial" w:hAnsi="Arial" w:cs="Arial"/>
          <w:b/>
        </w:rPr>
        <w:t xml:space="preserve">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p>
    <w:p w14:paraId="5A8EE264" w14:textId="77777777">
      <w:pPr>
        <w:pBdr/>
        <w:spacing/>
        <w:ind/>
        <w:jc w:val="both"/>
        <w:rPr/>
      </w:pPr>
      <w:r>
        <w:rPr>
          <w:rFonts w:ascii="Arial" w:hAnsi="Arial" w:cs="Arial"/>
        </w:rPr>
        <w:t xml:space="preserve"> </w:t>
      </w:r>
      <w:r/>
    </w:p>
    <w:p w14:paraId="368FFA6F" w14:textId="77777777">
      <w:pPr>
        <w:pBdr/>
        <w:spacing/>
        <w:ind/>
        <w:jc w:val="both"/>
        <w:rPr/>
      </w:pPr>
      <w:r>
        <w:rPr>
          <w:rFonts w:ascii="Arial" w:hAnsi="Arial" w:cs="Arial"/>
          <w:b/>
        </w:rPr>
        <w:t xml:space="preserve">16.6.</w:t>
      </w:r>
      <w:r>
        <w:rPr>
          <w:rFonts w:ascii="Arial" w:hAnsi="Arial" w:cs="Arial"/>
        </w:rPr>
        <w:t xml:space="preserve"> A autoridade competente, na aplicação das sanções, levará em consideração:</w:t>
      </w:r>
      <w:r/>
    </w:p>
    <w:p w14:paraId="4C874193" w14:textId="77777777">
      <w:pPr>
        <w:pBdr/>
        <w:spacing/>
        <w:ind/>
        <w:jc w:val="both"/>
        <w:rPr>
          <w:rFonts w:ascii="Arial" w:cs="Arial"/>
        </w:rPr>
      </w:pPr>
      <w:r>
        <w:rPr>
          <w:rFonts w:ascii="Arial" w:cs="Arial"/>
        </w:rPr>
      </w:r>
      <w:r>
        <w:rPr>
          <w:rFonts w:ascii="Arial" w:cs="Arial"/>
        </w:rPr>
      </w:r>
    </w:p>
    <w:p w14:paraId="7BEB88A7" w14:textId="77777777">
      <w:pPr>
        <w:pBdr/>
        <w:spacing/>
        <w:ind/>
        <w:jc w:val="both"/>
        <w:rPr/>
      </w:pPr>
      <w:r>
        <w:rPr>
          <w:rFonts w:ascii="Arial" w:hAnsi="Arial" w:cs="Arial"/>
          <w:b/>
        </w:rPr>
        <w:t xml:space="preserve">16.6.1.</w:t>
      </w:r>
      <w:r>
        <w:rPr>
          <w:rFonts w:ascii="Arial" w:hAnsi="Arial" w:cs="Arial"/>
        </w:rPr>
        <w:t xml:space="preserve"> a natureza e a gravidade da infração cometida; </w:t>
      </w:r>
      <w:r/>
    </w:p>
    <w:p w14:paraId="15E67039" w14:textId="77777777">
      <w:pPr>
        <w:pBdr/>
        <w:spacing/>
        <w:ind/>
        <w:jc w:val="both"/>
        <w:rPr>
          <w:rFonts w:ascii="Arial" w:cs="Arial"/>
        </w:rPr>
      </w:pPr>
      <w:r>
        <w:rPr>
          <w:rFonts w:ascii="Arial" w:cs="Arial"/>
        </w:rPr>
      </w:r>
      <w:r>
        <w:rPr>
          <w:rFonts w:ascii="Arial" w:cs="Arial"/>
        </w:rPr>
      </w:r>
    </w:p>
    <w:p w14:paraId="446BF06E" w14:textId="77777777">
      <w:pPr>
        <w:pBdr/>
        <w:spacing/>
        <w:ind/>
        <w:jc w:val="both"/>
        <w:rPr/>
      </w:pPr>
      <w:r>
        <w:rPr>
          <w:rFonts w:ascii="Arial" w:hAnsi="Arial" w:cs="Arial"/>
          <w:b/>
        </w:rPr>
        <w:t xml:space="preserve">16.6.2.</w:t>
      </w:r>
      <w:r>
        <w:rPr>
          <w:rFonts w:ascii="Arial" w:hAnsi="Arial" w:cs="Arial"/>
        </w:rPr>
        <w:t xml:space="preserve"> as peculiaridades do caso concreto;</w:t>
      </w:r>
      <w:r/>
    </w:p>
    <w:p w14:paraId="7BF38EDD" w14:textId="77777777">
      <w:pPr>
        <w:pBdr/>
        <w:spacing/>
        <w:ind/>
        <w:jc w:val="both"/>
        <w:rPr>
          <w:rFonts w:ascii="Arial" w:cs="Arial"/>
        </w:rPr>
      </w:pPr>
      <w:r>
        <w:rPr>
          <w:rFonts w:ascii="Arial" w:cs="Arial"/>
        </w:rPr>
      </w:r>
      <w:r>
        <w:rPr>
          <w:rFonts w:ascii="Arial" w:cs="Arial"/>
        </w:rPr>
      </w:r>
    </w:p>
    <w:p w14:paraId="49BCAB7F" w14:textId="77777777">
      <w:pPr>
        <w:pBdr/>
        <w:spacing/>
        <w:ind/>
        <w:jc w:val="both"/>
        <w:rPr/>
      </w:pPr>
      <w:r>
        <w:rPr>
          <w:rFonts w:ascii="Arial" w:hAnsi="Arial" w:cs="Arial"/>
          <w:b/>
        </w:rPr>
        <w:t xml:space="preserve">16.6.3.</w:t>
      </w:r>
      <w:r>
        <w:rPr>
          <w:rFonts w:ascii="Arial" w:hAnsi="Arial" w:cs="Arial"/>
        </w:rPr>
        <w:t xml:space="preserve"> as circunstâncias agravantes ou atenuantes;</w:t>
      </w:r>
      <w:r/>
    </w:p>
    <w:p w14:paraId="660C00AD" w14:textId="77777777">
      <w:pPr>
        <w:pBdr/>
        <w:spacing/>
        <w:ind/>
        <w:jc w:val="both"/>
        <w:rPr>
          <w:rFonts w:ascii="Arial" w:cs="Arial"/>
          <w:b/>
        </w:rPr>
      </w:pPr>
      <w:r>
        <w:rPr>
          <w:rFonts w:ascii="Arial" w:cs="Arial"/>
          <w:b/>
        </w:rPr>
      </w:r>
      <w:r>
        <w:rPr>
          <w:rFonts w:ascii="Arial" w:cs="Arial"/>
          <w:b/>
        </w:rPr>
      </w:r>
    </w:p>
    <w:p w14:paraId="7582C902" w14:textId="77777777">
      <w:pPr>
        <w:pBdr/>
        <w:spacing/>
        <w:ind/>
        <w:jc w:val="both"/>
        <w:rPr/>
      </w:pPr>
      <w:r>
        <w:rPr>
          <w:rFonts w:ascii="Arial" w:hAnsi="Arial" w:cs="Arial"/>
          <w:b/>
        </w:rPr>
        <w:t xml:space="preserve">16.6.4.</w:t>
      </w:r>
      <w:r>
        <w:rPr>
          <w:rFonts w:ascii="Arial" w:hAnsi="Arial" w:cs="Arial"/>
        </w:rPr>
        <w:t xml:space="preserve"> os danos que dela provierem para o contratante;</w:t>
      </w:r>
      <w:r/>
    </w:p>
    <w:p w14:paraId="35663B9A" w14:textId="77777777">
      <w:pPr>
        <w:pBdr/>
        <w:spacing/>
        <w:ind/>
        <w:jc w:val="both"/>
        <w:rPr>
          <w:rFonts w:ascii="Arial" w:cs="Arial"/>
        </w:rPr>
      </w:pPr>
      <w:r>
        <w:rPr>
          <w:rFonts w:ascii="Arial" w:cs="Arial"/>
        </w:rPr>
      </w:r>
      <w:r>
        <w:rPr>
          <w:rFonts w:ascii="Arial" w:cs="Arial"/>
        </w:rPr>
      </w:r>
    </w:p>
    <w:p w14:paraId="2E094FC0" w14:textId="77777777">
      <w:pPr>
        <w:pBdr/>
        <w:spacing/>
        <w:ind/>
        <w:jc w:val="both"/>
        <w:rPr/>
      </w:pPr>
      <w:r>
        <w:rPr>
          <w:rFonts w:ascii="Arial" w:hAnsi="Arial" w:cs="Arial"/>
          <w:b/>
        </w:rPr>
        <w:t xml:space="preserve">16.6.5.</w:t>
      </w:r>
      <w:r>
        <w:rPr>
          <w:rFonts w:ascii="Arial" w:hAnsi="Arial" w:cs="Arial"/>
        </w:rPr>
        <w:t xml:space="preserve"> a implantação ou o aperfeiçoamento de programa de integridade, conforme normas e orientações dos órgãos de controle.</w:t>
      </w:r>
      <w:r/>
    </w:p>
    <w:p w14:paraId="36453332" w14:textId="77777777">
      <w:pPr>
        <w:pBdr/>
        <w:spacing/>
        <w:ind/>
        <w:jc w:val="both"/>
        <w:rPr/>
      </w:pPr>
      <w:r>
        <w:rPr>
          <w:rFonts w:ascii="Arial" w:hAnsi="Arial" w:cs="Arial"/>
          <w:b/>
        </w:rPr>
        <w:t xml:space="preserve">16.7.</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p>
    <w:p w14:paraId="17C9D2B8" w14:textId="77777777">
      <w:pPr>
        <w:pBdr/>
        <w:spacing/>
        <w:ind/>
        <w:jc w:val="both"/>
        <w:rPr>
          <w:rFonts w:ascii="Arial" w:cs="Arial"/>
        </w:rPr>
      </w:pPr>
      <w:r>
        <w:rPr>
          <w:rFonts w:ascii="Arial" w:cs="Arial"/>
        </w:rPr>
      </w:r>
      <w:r>
        <w:rPr>
          <w:rFonts w:ascii="Arial" w:cs="Arial"/>
        </w:rPr>
      </w:r>
    </w:p>
    <w:p w14:paraId="34A5903F" w14:textId="77777777">
      <w:pPr>
        <w:pBdr/>
        <w:spacing/>
        <w:ind/>
        <w:jc w:val="both"/>
        <w:rPr/>
      </w:pPr>
      <w:r>
        <w:rPr>
          <w:rFonts w:ascii="Arial" w:hAnsi="Arial" w:cs="Arial"/>
          <w:b/>
        </w:rPr>
        <w:t xml:space="preserve">16.8.</w:t>
      </w:r>
      <w:r>
        <w:rPr>
          <w:rFonts w:ascii="Arial" w:hAnsi="Arial" w:cs="Arial"/>
        </w:rPr>
        <w:t xml:space="preserve"> A personalidade jurídica do Contratado poderá ser desconsiderada sempre que utilizada com abuso do direito para facilitar, encobrir ou dissimular a prática dos atos ilícitos previstos n</w:t>
      </w:r>
      <w:r>
        <w:rPr>
          <w:rFonts w:ascii="Arial" w:hAnsi="Arial" w:cs="Arial"/>
        </w:rPr>
        <w:t xml:space="preserve">este Contrato ou para provocar confusão patrimonial, e, nesse caso, todos os efeitos das sanções aplicadas à pessoa jurídica serão estendidos aos seus administradores e sócios com poderes de administração, à pessoa jurídica sucessora ou à empresa do mesmo </w:t>
      </w:r>
      <w:r>
        <w:rPr>
          <w:rFonts w:ascii="Arial" w:hAnsi="Arial" w:cs="Arial"/>
        </w:rPr>
        <w:t xml:space="preserve">ramo com relação de coligação ou controle, de fato ou de direito, com o Contratado, observados, em todos os casos, o contraditório, a ampla defesa e a obrigatoriedade de análise jurídica prévia.</w:t>
      </w:r>
      <w:r/>
    </w:p>
    <w:p w14:paraId="4E9B8B97" w14:textId="77777777">
      <w:pPr>
        <w:pBdr/>
        <w:spacing/>
        <w:ind/>
        <w:jc w:val="both"/>
        <w:rPr>
          <w:rFonts w:ascii="Arial" w:cs="Arial"/>
        </w:rPr>
      </w:pPr>
      <w:r>
        <w:rPr>
          <w:rFonts w:ascii="Arial" w:cs="Arial"/>
        </w:rPr>
      </w:r>
      <w:r>
        <w:rPr>
          <w:rFonts w:ascii="Arial" w:cs="Arial"/>
        </w:rPr>
      </w:r>
    </w:p>
    <w:p w14:paraId="4046FD5E" w14:textId="77777777">
      <w:pPr>
        <w:pBdr/>
        <w:spacing/>
        <w:ind/>
        <w:jc w:val="both"/>
        <w:rPr/>
      </w:pPr>
      <w:r>
        <w:rPr>
          <w:rFonts w:ascii="Arial" w:hAnsi="Arial" w:cs="Arial"/>
          <w:b/>
        </w:rPr>
        <w:t xml:space="preserve">16.9.</w:t>
      </w:r>
      <w:r>
        <w:rPr>
          <w:rFonts w:ascii="Arial" w:hAnsi="Arial" w:cs="Arial"/>
        </w:rPr>
        <w:t xml:space="preserve"> As sanções de impedimento de licitar e contratar e declaração de inidoneidade para licitar ou contratar são passíveis de reabilitação na forma do art. 163 da Lei nº 14.133/2021.</w:t>
      </w:r>
      <w:r/>
    </w:p>
    <w:p w14:paraId="7E72CCFF" w14:textId="77777777">
      <w:pPr>
        <w:pBdr/>
        <w:spacing/>
        <w:ind/>
        <w:jc w:val="both"/>
        <w:rPr>
          <w:rFonts w:ascii="Arial" w:cs="Arial"/>
        </w:rPr>
      </w:pPr>
      <w:r>
        <w:rPr>
          <w:rFonts w:ascii="Arial" w:cs="Arial"/>
        </w:rPr>
      </w:r>
      <w:r>
        <w:rPr>
          <w:rFonts w:ascii="Arial" w:cs="Arial"/>
        </w:rPr>
      </w:r>
    </w:p>
    <w:p w14:paraId="152F4847" w14:textId="77777777">
      <w:pPr>
        <w:pBdr/>
        <w:spacing/>
        <w:ind/>
        <w:jc w:val="both"/>
        <w:rPr/>
      </w:pPr>
      <w:r>
        <w:rPr>
          <w:rFonts w:ascii="Arial" w:hAnsi="Arial" w:cs="Arial"/>
          <w:b/>
        </w:rPr>
        <w:t xml:space="preserve">CLÁUSULA DÉCIMA SÉTIMA – CLÁUSULA ANTICORRUPÇÃO:</w:t>
      </w:r>
      <w:r/>
    </w:p>
    <w:p w14:paraId="51F48629" w14:textId="77777777">
      <w:pPr>
        <w:pBdr/>
        <w:spacing/>
        <w:ind/>
        <w:jc w:val="both"/>
        <w:rPr>
          <w:rFonts w:ascii="Arial" w:cs="Arial"/>
          <w:b/>
        </w:rPr>
      </w:pPr>
      <w:r>
        <w:rPr>
          <w:rFonts w:ascii="Arial" w:cs="Arial"/>
          <w:b/>
        </w:rPr>
      </w:r>
      <w:r>
        <w:rPr>
          <w:rFonts w:ascii="Arial" w:cs="Arial"/>
          <w:b/>
        </w:rPr>
      </w:r>
    </w:p>
    <w:p w14:paraId="2CCBBFD7" w14:textId="77777777">
      <w:pPr>
        <w:pBdr/>
        <w:spacing/>
        <w:ind/>
        <w:jc w:val="both"/>
        <w:rPr/>
      </w:pPr>
      <w:r>
        <w:rPr>
          <w:rFonts w:ascii="Arial" w:hAnsi="Arial" w:cs="Arial"/>
          <w:b/>
        </w:rPr>
        <w:t xml:space="preserve">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p>
    <w:p w14:paraId="1F8B78FE" w14:textId="77777777">
      <w:pPr>
        <w:pBdr/>
        <w:spacing/>
        <w:ind/>
        <w:jc w:val="both"/>
        <w:rPr>
          <w:rFonts w:ascii="Arial" w:cs="Arial"/>
        </w:rPr>
      </w:pPr>
      <w:r>
        <w:rPr>
          <w:rFonts w:ascii="Arial" w:cs="Arial"/>
        </w:rPr>
      </w:r>
      <w:r>
        <w:rPr>
          <w:rFonts w:ascii="Arial" w:cs="Arial"/>
        </w:rPr>
      </w:r>
    </w:p>
    <w:p w14:paraId="44AD729A" w14:textId="77777777">
      <w:pPr>
        <w:pBdr/>
        <w:spacing/>
        <w:ind/>
        <w:jc w:val="both"/>
        <w:rPr/>
      </w:pPr>
      <w:r>
        <w:rPr>
          <w:rFonts w:ascii="Arial" w:hAnsi="Arial" w:cs="Arial"/>
          <w:b/>
        </w:rPr>
        <w:t xml:space="preserve">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r/>
    </w:p>
    <w:p w14:paraId="4D125EFA" w14:textId="77777777">
      <w:pPr>
        <w:pBdr/>
        <w:spacing/>
        <w:ind/>
        <w:jc w:val="both"/>
        <w:rPr>
          <w:rFonts w:ascii="Arial" w:cs="Arial"/>
        </w:rPr>
      </w:pPr>
      <w:r>
        <w:rPr>
          <w:rFonts w:ascii="Arial" w:cs="Arial"/>
        </w:rPr>
      </w:r>
      <w:r>
        <w:rPr>
          <w:rFonts w:ascii="Arial" w:cs="Arial"/>
        </w:rPr>
      </w:r>
    </w:p>
    <w:p w14:paraId="54D27F46" w14:textId="77777777">
      <w:pPr>
        <w:pBdr/>
        <w:spacing/>
        <w:ind/>
        <w:jc w:val="both"/>
        <w:rPr/>
      </w:pPr>
      <w:r>
        <w:rPr>
          <w:rFonts w:ascii="Arial" w:hAnsi="Arial" w:cs="Arial"/>
          <w:b/>
        </w:rPr>
        <w:t xml:space="preserve">CLÁUSULA DÉCIMA OITAVA – DA NULIDADE DO CONTRATO:</w:t>
      </w:r>
      <w:r/>
    </w:p>
    <w:p w14:paraId="2A699432" w14:textId="77777777">
      <w:pPr>
        <w:pBdr/>
        <w:spacing/>
        <w:ind/>
        <w:jc w:val="both"/>
        <w:rPr>
          <w:rFonts w:ascii="Arial" w:cs="Arial"/>
          <w:b/>
        </w:rPr>
      </w:pPr>
      <w:r>
        <w:rPr>
          <w:rFonts w:ascii="Arial" w:cs="Arial"/>
          <w:b/>
        </w:rPr>
      </w:r>
      <w:r>
        <w:rPr>
          <w:rFonts w:ascii="Arial" w:cs="Arial"/>
          <w:b/>
        </w:rPr>
      </w:r>
    </w:p>
    <w:p w14:paraId="2F670DFE" w14:textId="77777777">
      <w:pPr>
        <w:pBdr/>
        <w:spacing/>
        <w:ind/>
        <w:jc w:val="both"/>
        <w:rPr/>
      </w:pPr>
      <w:r>
        <w:rPr>
          <w:rFonts w:ascii="Arial" w:hAnsi="Arial" w:cs="Arial"/>
          <w:b/>
        </w:rPr>
        <w:t xml:space="preserve">18.1.</w:t>
      </w:r>
      <w:r>
        <w:rPr>
          <w:rFonts w:ascii="Arial" w:hAnsi="Arial" w:cs="Arial"/>
        </w:rPr>
        <w:t xml:space="preserve"> Constatada irregularidade no procedimento licitatório ou na execução contratual, caso não seja poss</w:t>
      </w:r>
      <w:r>
        <w:rPr>
          <w:rFonts w:ascii="Arial" w:hAnsi="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p>
    <w:p w14:paraId="1F909C39" w14:textId="77777777">
      <w:pPr>
        <w:pBdr/>
        <w:spacing/>
        <w:ind/>
        <w:jc w:val="both"/>
        <w:rPr>
          <w:rFonts w:ascii="Arial" w:cs="Arial"/>
        </w:rPr>
      </w:pPr>
      <w:r>
        <w:rPr>
          <w:rFonts w:ascii="Arial" w:cs="Arial"/>
        </w:rPr>
      </w:r>
      <w:r>
        <w:rPr>
          <w:rFonts w:ascii="Arial" w:cs="Arial"/>
        </w:rPr>
      </w:r>
    </w:p>
    <w:p w14:paraId="09C5ED1C" w14:textId="77777777">
      <w:pPr>
        <w:pBdr/>
        <w:spacing/>
        <w:ind/>
        <w:jc w:val="both"/>
        <w:rPr/>
      </w:pPr>
      <w:r>
        <w:rPr>
          <w:rFonts w:ascii="Arial" w:hAnsi="Arial" w:cs="Arial"/>
          <w:b/>
        </w:rPr>
        <w:t xml:space="preserve">18.2.</w:t>
      </w:r>
      <w:r>
        <w:rPr>
          <w:rFonts w:ascii="Arial" w:hAnsi="Arial" w:cs="Arial"/>
        </w:rPr>
        <w:t xml:space="preserve"> A nulidade não exonera o contratante do dever de indenizar o contratado pelo que houver executado até a data em </w:t>
      </w:r>
      <w:r>
        <w:rPr>
          <w:rFonts w:ascii="Arial" w:hAnsi="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p>
    <w:p w14:paraId="0925F9B5" w14:textId="77777777">
      <w:pPr>
        <w:pBdr/>
        <w:spacing/>
        <w:ind w:right="-5"/>
        <w:jc w:val="both"/>
        <w:rPr>
          <w:rFonts w:ascii="Arial" w:cs="Arial"/>
          <w:b/>
        </w:rPr>
      </w:pPr>
      <w:r>
        <w:rPr>
          <w:rFonts w:ascii="Arial" w:cs="Arial"/>
          <w:b/>
        </w:rPr>
      </w:r>
      <w:r>
        <w:rPr>
          <w:rFonts w:ascii="Arial" w:cs="Arial"/>
          <w:b/>
        </w:rPr>
      </w:r>
    </w:p>
    <w:p w14:paraId="10E94084" w14:textId="77777777">
      <w:pPr>
        <w:pBdr/>
        <w:spacing/>
        <w:ind w:right="-5"/>
        <w:jc w:val="both"/>
        <w:rPr/>
      </w:pPr>
      <w:r>
        <w:rPr>
          <w:rFonts w:ascii="Arial" w:hAnsi="Arial" w:cs="Arial"/>
          <w:b/>
        </w:rPr>
        <w:t xml:space="preserve">CLÁUSULA DÉCIMA NONA – GARANTIA DE EXECUÇÃO</w:t>
      </w:r>
      <w:r>
        <w:rPr>
          <w:rFonts w:ascii="Arial" w:hAnsi="Arial" w:cs="Arial"/>
        </w:rPr>
        <w:t xml:space="preserve"> </w:t>
      </w:r>
      <w:r/>
    </w:p>
    <w:p w14:paraId="5F5CBE6D" w14:textId="77777777">
      <w:pPr>
        <w:pBdr/>
        <w:spacing/>
        <w:ind w:right="-5"/>
        <w:jc w:val="both"/>
        <w:rPr>
          <w:rFonts w:ascii="Arial" w:cs="Arial"/>
          <w:b/>
        </w:rPr>
      </w:pPr>
      <w:r>
        <w:rPr>
          <w:rFonts w:ascii="Arial" w:cs="Arial"/>
          <w:b/>
        </w:rPr>
      </w:r>
      <w:r>
        <w:rPr>
          <w:rFonts w:ascii="Arial" w:cs="Arial"/>
          <w:b/>
        </w:rPr>
      </w:r>
    </w:p>
    <w:p w14:paraId="04023777" w14:textId="77777777">
      <w:pPr>
        <w:pBdr/>
        <w:spacing/>
        <w:ind w:right="-5"/>
        <w:jc w:val="both"/>
        <w:rPr/>
      </w:pPr>
      <w:r>
        <w:rPr>
          <w:rFonts w:ascii="Arial" w:hAnsi="Arial" w:cs="Arial"/>
          <w:b/>
        </w:rPr>
        <w:t xml:space="preserve">19.1.</w:t>
      </w:r>
      <w:r>
        <w:rPr>
          <w:rFonts w:ascii="Arial" w:hAnsi="Arial" w:cs="Arial"/>
        </w:rPr>
        <w:t xml:space="preserve"> O prazo de garantia dos serviços é aquele previsto na Lei nº 8.078/1990 (Código de Defesa do Consumidor).</w:t>
      </w:r>
      <w:r/>
    </w:p>
    <w:p w14:paraId="641677DE" w14:textId="77777777">
      <w:pPr>
        <w:pBdr/>
        <w:spacing/>
        <w:ind w:right="-5"/>
        <w:jc w:val="both"/>
        <w:rPr>
          <w:rFonts w:ascii="Arial" w:cs="Arial"/>
          <w:b/>
        </w:rPr>
      </w:pPr>
      <w:r>
        <w:rPr>
          <w:rFonts w:ascii="Arial" w:cs="Arial"/>
          <w:b/>
        </w:rPr>
      </w:r>
      <w:r>
        <w:rPr>
          <w:rFonts w:ascii="Arial" w:cs="Arial"/>
          <w:b/>
        </w:rPr>
      </w:r>
    </w:p>
    <w:p w14:paraId="4D015CDC" w14:textId="77777777">
      <w:pPr>
        <w:pBdr/>
        <w:spacing/>
        <w:ind w:right="-5"/>
        <w:jc w:val="both"/>
        <w:rPr/>
      </w:pPr>
      <w:r>
        <w:rPr>
          <w:rFonts w:ascii="Arial" w:hAnsi="Arial" w:cs="Arial"/>
          <w:b/>
        </w:rPr>
        <w:t xml:space="preserve">CLÁUSULA VIGÉSIMA – GARANTIA DO OBJETO</w:t>
      </w:r>
      <w:r/>
    </w:p>
    <w:p w14:paraId="48543C43" w14:textId="77777777">
      <w:pPr>
        <w:pBdr/>
        <w:spacing/>
        <w:ind w:right="-5"/>
        <w:jc w:val="both"/>
        <w:rPr>
          <w:rFonts w:ascii="Arial" w:cs="Arial"/>
          <w:b/>
        </w:rPr>
      </w:pPr>
      <w:r>
        <w:rPr>
          <w:rFonts w:ascii="Arial" w:cs="Arial"/>
          <w:b/>
        </w:rPr>
      </w:r>
      <w:r>
        <w:rPr>
          <w:rFonts w:ascii="Arial" w:cs="Arial"/>
          <w:b/>
        </w:rPr>
      </w:r>
    </w:p>
    <w:p w14:paraId="6298B619" w14:textId="77777777">
      <w:pPr>
        <w:pBdr/>
        <w:spacing/>
        <w:ind w:right="-5"/>
        <w:jc w:val="both"/>
        <w:rPr/>
      </w:pPr>
      <w:r>
        <w:rPr>
          <w:rFonts w:ascii="Arial" w:hAnsi="Arial" w:cs="Arial"/>
          <w:b/>
        </w:rPr>
        <w:t xml:space="preserve">20.1</w:t>
      </w:r>
      <w:r>
        <w:rPr>
          <w:rFonts w:ascii="Arial" w:hAnsi="Arial" w:cs="Arial"/>
        </w:rPr>
        <w:t xml:space="preserve"> O Não haverá exigência de garantia da contratação, prevista no artigo 96 e seguintes da Lei 14.133/2021, tendo em vista que tal exigência poderá elevar demasiadamente o preço dos produtos</w:t>
      </w:r>
      <w:r/>
    </w:p>
    <w:p w14:paraId="178EBC2B" w14:textId="77777777">
      <w:pPr>
        <w:pBdr/>
        <w:spacing/>
        <w:ind w:right="-5"/>
        <w:jc w:val="both"/>
        <w:rPr>
          <w:rFonts w:ascii="Arial" w:cs="Arial"/>
          <w:b/>
        </w:rPr>
      </w:pPr>
      <w:r>
        <w:rPr>
          <w:rFonts w:ascii="Arial" w:cs="Arial"/>
          <w:b/>
        </w:rPr>
      </w:r>
      <w:r>
        <w:rPr>
          <w:rFonts w:ascii="Arial" w:cs="Arial"/>
          <w:b/>
        </w:rPr>
      </w:r>
    </w:p>
    <w:p w14:paraId="59D5845A" w14:textId="77777777">
      <w:pPr>
        <w:pBdr/>
        <w:spacing/>
        <w:ind w:right="-5"/>
        <w:jc w:val="both"/>
        <w:rPr/>
      </w:pPr>
      <w:r>
        <w:rPr>
          <w:rFonts w:ascii="Arial" w:hAnsi="Arial" w:cs="Arial"/>
          <w:b/>
        </w:rPr>
        <w:t xml:space="preserve">CLÁUSULA VIGÉSIMA PRIMEIRA – DO DIREITO DE PETIÇÃO:</w:t>
      </w:r>
      <w:r/>
    </w:p>
    <w:p w14:paraId="6F435C84" w14:textId="77777777">
      <w:pPr>
        <w:pBdr/>
        <w:spacing/>
        <w:ind w:right="-5"/>
        <w:jc w:val="both"/>
        <w:rPr>
          <w:rFonts w:ascii="Arial" w:cs="Arial"/>
          <w:b/>
        </w:rPr>
      </w:pPr>
      <w:r>
        <w:rPr>
          <w:rFonts w:ascii="Arial" w:cs="Arial"/>
          <w:b/>
        </w:rPr>
      </w:r>
      <w:r>
        <w:rPr>
          <w:rFonts w:ascii="Arial" w:cs="Arial"/>
          <w:b/>
        </w:rPr>
      </w:r>
    </w:p>
    <w:p w14:paraId="06411C68" w14:textId="77777777">
      <w:pPr>
        <w:pBdr/>
        <w:spacing/>
        <w:ind w:right="-5"/>
        <w:jc w:val="both"/>
        <w:rPr/>
      </w:pPr>
      <w:r>
        <w:rPr>
          <w:rFonts w:ascii="Arial" w:hAnsi="Arial" w:cs="Arial"/>
          <w:b/>
        </w:rPr>
        <w:t xml:space="preserve">21.</w:t>
      </w:r>
      <w:r>
        <w:rPr>
          <w:rStyle w:val="1229"/>
          <w:rFonts w:ascii="Arial" w:hAnsi="Arial" w:cs="Arial"/>
          <w:b/>
        </w:rPr>
        <w:t xml:space="preserve">1</w:t>
      </w:r>
      <w:r>
        <w:rPr>
          <w:rStyle w:val="1229"/>
          <w:rFonts w:ascii="Arial" w:hAnsi="Arial" w:cs="Arial"/>
        </w:rPr>
        <w:t xml:space="preserve">. No tocante a recursos, representações e pedidos de reconsideração, deverá ser observado o disposto no art. 164 da Lei nº 14.133/2021.</w:t>
      </w:r>
      <w:r/>
    </w:p>
    <w:p w14:paraId="0AEB7D5A" w14:textId="77777777">
      <w:pPr>
        <w:pBdr/>
        <w:spacing/>
        <w:ind/>
        <w:jc w:val="both"/>
        <w:rPr>
          <w:rFonts w:ascii="Arial" w:cs="Arial"/>
        </w:rPr>
      </w:pPr>
      <w:r>
        <w:rPr>
          <w:rFonts w:ascii="Arial" w:cs="Arial"/>
        </w:rPr>
      </w:r>
      <w:r>
        <w:rPr>
          <w:rFonts w:ascii="Arial" w:cs="Arial"/>
        </w:rPr>
      </w:r>
    </w:p>
    <w:p w14:paraId="0734A8AF" w14:textId="77777777">
      <w:pPr>
        <w:pBdr/>
        <w:spacing/>
        <w:ind w:right="-5"/>
        <w:rPr/>
      </w:pPr>
      <w:r>
        <w:rPr>
          <w:rFonts w:ascii="Arial" w:hAnsi="Arial" w:cs="Arial"/>
          <w:b/>
        </w:rPr>
        <w:t xml:space="preserve">CLÁUSULA VIGÉSIMA SEGUNDA - DAS DISPOSIÇÕES GERAIS:</w:t>
      </w:r>
      <w:r/>
    </w:p>
    <w:p w14:paraId="0A3803E4" w14:textId="77777777">
      <w:pPr>
        <w:pBdr/>
        <w:spacing/>
        <w:ind w:right="-5"/>
        <w:jc w:val="both"/>
        <w:rPr>
          <w:rFonts w:ascii="Arial" w:cs="Arial"/>
          <w:b/>
        </w:rPr>
      </w:pPr>
      <w:r>
        <w:rPr>
          <w:rFonts w:ascii="Arial" w:cs="Arial"/>
          <w:b/>
        </w:rPr>
      </w:r>
      <w:r>
        <w:rPr>
          <w:rFonts w:ascii="Arial" w:cs="Arial"/>
          <w:b/>
        </w:rPr>
      </w:r>
    </w:p>
    <w:p w14:paraId="21F9EBCA" w14:textId="77777777">
      <w:pPr>
        <w:pBdr/>
        <w:spacing/>
        <w:ind w:right="-5"/>
        <w:jc w:val="both"/>
        <w:rPr/>
      </w:pPr>
      <w:r>
        <w:rPr>
          <w:rStyle w:val="1229"/>
          <w:rFonts w:ascii="Arial" w:hAnsi="Arial" w:cs="Arial"/>
          <w:b/>
        </w:rPr>
        <w:t xml:space="preserve">22.1. DOS FUNDAMENTOS LEGAIS E DA SUJEIÇÃO ÀS NORMAS LEGAIS E CONTRATUAIS: </w:t>
      </w:r>
      <w:r/>
    </w:p>
    <w:p w14:paraId="0BD77370" w14:textId="77777777">
      <w:pPr>
        <w:pBdr/>
        <w:spacing/>
        <w:ind w:right="-5" w:left="708"/>
        <w:jc w:val="both"/>
        <w:rPr>
          <w:rFonts w:ascii="Arial" w:cs="Arial"/>
          <w:b/>
        </w:rPr>
      </w:pPr>
      <w:r>
        <w:rPr>
          <w:rFonts w:ascii="Arial" w:cs="Arial"/>
          <w:b/>
        </w:rPr>
      </w:r>
      <w:r>
        <w:rPr>
          <w:rFonts w:ascii="Arial" w:cs="Arial"/>
          <w:b/>
        </w:rPr>
      </w:r>
    </w:p>
    <w:p w14:paraId="63743500" w14:textId="77777777">
      <w:pPr>
        <w:pBdr/>
        <w:spacing/>
        <w:ind w:right="-5" w:left="708"/>
        <w:jc w:val="both"/>
        <w:rPr/>
      </w:pPr>
      <w:r>
        <w:rPr>
          <w:rStyle w:val="1229"/>
          <w:rFonts w:ascii="Arial" w:hAnsi="Arial" w:cs="Arial"/>
          <w:b/>
        </w:rPr>
        <w:t xml:space="preserve">22.1.1.</w:t>
      </w:r>
      <w:r>
        <w:rPr>
          <w:rStyle w:val="1229"/>
          <w:rFonts w:ascii="Arial" w:hAnsi="Arial" w:cs="Arial"/>
        </w:rPr>
        <w:t xml:space="preserve"> A legislação aplicável a este Contrato é a constante do </w:t>
      </w:r>
      <w:r>
        <w:rPr>
          <w:rFonts w:ascii="Arial" w:hAnsi="Arial" w:cs="Arial"/>
        </w:rPr>
        <w:t xml:space="preserve">Decreto Municipal nº 11.685/2023 </w:t>
      </w:r>
      <w:r>
        <w:rPr>
          <w:rStyle w:val="1229"/>
          <w:rFonts w:ascii="Arial" w:hAnsi="Arial" w:cs="Arial"/>
        </w:rPr>
        <w:t xml:space="preserve">e a Lei nº 14.133/21 e demais disposições aplicáveis as Licitações e Contratos Administrativos.  </w:t>
      </w:r>
      <w:r/>
    </w:p>
    <w:p w14:paraId="7C222C5E" w14:textId="77777777">
      <w:pPr>
        <w:pBdr/>
        <w:spacing/>
        <w:ind w:right="-5" w:left="708"/>
        <w:jc w:val="both"/>
        <w:rPr>
          <w:rFonts w:ascii="Arial" w:cs="Arial"/>
        </w:rPr>
      </w:pPr>
      <w:r>
        <w:rPr>
          <w:rFonts w:ascii="Arial" w:cs="Arial"/>
        </w:rPr>
      </w:r>
      <w:r>
        <w:rPr>
          <w:rFonts w:ascii="Arial" w:cs="Arial"/>
        </w:rPr>
      </w:r>
    </w:p>
    <w:p w14:paraId="460D1D84" w14:textId="77777777">
      <w:pPr>
        <w:pBdr/>
        <w:spacing/>
        <w:ind w:right="-5" w:left="567"/>
        <w:jc w:val="both"/>
        <w:rPr/>
      </w:pPr>
      <w:r>
        <w:rPr>
          <w:rStyle w:val="1229"/>
          <w:rFonts w:ascii="Arial" w:hAnsi="Arial" w:cs="Arial"/>
          <w:b/>
        </w:rPr>
        <w:t xml:space="preserve">   22.1.2.</w:t>
      </w:r>
      <w:r>
        <w:rPr>
          <w:rStyle w:val="1229"/>
          <w:rFonts w:ascii="Arial" w:hAnsi="Arial" w:cs="Arial"/>
        </w:rPr>
        <w:t xml:space="preserve"> Os casos omissos que se tornarem controvertidos em face das cláusulas do presente contrato serão   resolvidos segundo os princípios jurídicos aplicáveis, e entendimentos dos tribunais de contas.</w:t>
      </w:r>
      <w:r/>
    </w:p>
    <w:p w14:paraId="0032251A" w14:textId="77777777">
      <w:pPr>
        <w:pBdr/>
        <w:spacing/>
        <w:ind w:right="-5" w:left="708"/>
        <w:jc w:val="both"/>
        <w:rPr>
          <w:rFonts w:ascii="Arial" w:cs="Arial"/>
        </w:rPr>
      </w:pPr>
      <w:r>
        <w:rPr>
          <w:rFonts w:ascii="Arial" w:cs="Arial"/>
        </w:rPr>
      </w:r>
      <w:r>
        <w:rPr>
          <w:rFonts w:ascii="Arial" w:cs="Arial"/>
        </w:rPr>
      </w:r>
    </w:p>
    <w:p w14:paraId="1EC60940" w14:textId="77777777">
      <w:pPr>
        <w:pBdr/>
        <w:spacing/>
        <w:ind w:right="-5" w:left="708"/>
        <w:jc w:val="both"/>
        <w:rPr/>
      </w:pPr>
      <w:r>
        <w:rPr>
          <w:rStyle w:val="1229"/>
          <w:rFonts w:ascii="Arial" w:hAnsi="Arial" w:cs="Arial"/>
          <w:b/>
        </w:rPr>
        <w:t xml:space="preserve">22.1.3.</w:t>
      </w:r>
      <w:r>
        <w:rPr>
          <w:rStyle w:val="1229"/>
          <w:rFonts w:ascii="Arial" w:hAnsi="Arial" w:cs="Arial"/>
        </w:rPr>
        <w:t xml:space="preserve"> Após a assinatura deste Contrato, toda comunicação entre o </w:t>
      </w:r>
      <w:r>
        <w:rPr>
          <w:rStyle w:val="1229"/>
          <w:rFonts w:ascii="Arial" w:hAnsi="Arial" w:cs="Arial"/>
          <w:b/>
        </w:rPr>
        <w:t xml:space="preserve">CONTRATANTE</w:t>
      </w:r>
      <w:r>
        <w:rPr>
          <w:rStyle w:val="1229"/>
          <w:rFonts w:ascii="Arial" w:hAnsi="Arial" w:cs="Arial"/>
        </w:rPr>
        <w:t xml:space="preserve"> e a </w:t>
      </w:r>
      <w:r>
        <w:rPr>
          <w:rStyle w:val="1229"/>
          <w:rFonts w:ascii="Arial" w:hAnsi="Arial" w:cs="Arial"/>
          <w:b/>
        </w:rPr>
        <w:t xml:space="preserve">CONTRATADA</w:t>
      </w:r>
      <w:r>
        <w:rPr>
          <w:rStyle w:val="1229"/>
          <w:rFonts w:ascii="Arial" w:hAnsi="Arial" w:cs="Arial"/>
        </w:rPr>
        <w:t xml:space="preserve"> será feita através de correspondência devidamente registrada. </w:t>
      </w:r>
      <w:r/>
    </w:p>
    <w:p w14:paraId="2E5D9593" w14:textId="77777777">
      <w:pPr>
        <w:pBdr/>
        <w:spacing/>
        <w:ind w:right="-5" w:left="708"/>
        <w:jc w:val="both"/>
        <w:rPr>
          <w:rFonts w:ascii="Arial" w:cs="Arial"/>
        </w:rPr>
      </w:pPr>
      <w:r>
        <w:rPr>
          <w:rFonts w:ascii="Arial" w:cs="Arial"/>
        </w:rPr>
      </w:r>
      <w:r>
        <w:rPr>
          <w:rFonts w:ascii="Arial" w:cs="Arial"/>
        </w:rPr>
      </w:r>
    </w:p>
    <w:p w14:paraId="573FE88A" w14:textId="77777777">
      <w:pPr>
        <w:pBdr/>
        <w:spacing/>
        <w:ind w:right="-5" w:left="708"/>
        <w:jc w:val="both"/>
        <w:rPr/>
      </w:pPr>
      <w:r>
        <w:rPr>
          <w:rStyle w:val="1229"/>
          <w:rFonts w:ascii="Arial" w:hAnsi="Arial" w:cs="Arial"/>
          <w:b/>
        </w:rPr>
        <w:t xml:space="preserve">22.1.4.</w:t>
      </w:r>
      <w:r>
        <w:rPr>
          <w:rStyle w:val="1229"/>
          <w:rFonts w:ascii="Arial" w:hAnsi="Arial" w:cs="Arial"/>
        </w:rPr>
        <w:t xml:space="preserve"> Qualquer alteração nas condições ora estipuladas neste Contrato deverá ser feita através de Termo Aditivo, assinado pelos representantes legais das partes. </w:t>
      </w:r>
      <w:r/>
    </w:p>
    <w:p w14:paraId="49C8E28E" w14:textId="77777777">
      <w:pPr>
        <w:pBdr/>
        <w:spacing/>
        <w:ind w:right="-5"/>
        <w:jc w:val="both"/>
        <w:rPr>
          <w:rFonts w:ascii="Arial" w:cs="Arial"/>
          <w:b/>
        </w:rPr>
      </w:pPr>
      <w:r>
        <w:rPr>
          <w:rFonts w:ascii="Arial" w:cs="Arial"/>
          <w:b/>
        </w:rPr>
      </w:r>
      <w:r>
        <w:rPr>
          <w:rFonts w:ascii="Arial" w:cs="Arial"/>
          <w:b/>
        </w:rPr>
      </w:r>
    </w:p>
    <w:p w14:paraId="3AA8350F" w14:textId="77777777">
      <w:pPr>
        <w:pBdr/>
        <w:spacing/>
        <w:ind w:right="-5"/>
        <w:jc w:val="both"/>
        <w:rPr/>
      </w:pPr>
      <w:r>
        <w:rPr>
          <w:rFonts w:ascii="Arial" w:hAnsi="Arial" w:cs="Arial"/>
          <w:b/>
        </w:rPr>
        <w:t xml:space="preserve">CLÁUSULA VIGÉSIMA TERCEIRA – DA VINCULAÇÃO AO EDITAL:</w:t>
      </w:r>
      <w:r/>
    </w:p>
    <w:p w14:paraId="62084143" w14:textId="77777777">
      <w:pPr>
        <w:pBdr/>
        <w:spacing/>
        <w:ind w:right="-5"/>
        <w:jc w:val="both"/>
        <w:rPr>
          <w:rFonts w:ascii="Arial" w:cs="Arial"/>
          <w:b/>
          <w:u w:val="single"/>
        </w:rPr>
      </w:pPr>
      <w:r>
        <w:rPr>
          <w:rFonts w:ascii="Arial" w:cs="Arial"/>
          <w:b/>
          <w:u w:val="single"/>
        </w:rPr>
      </w:r>
      <w:r>
        <w:rPr>
          <w:rFonts w:ascii="Arial" w:cs="Arial"/>
          <w:b/>
          <w:u w:val="single"/>
        </w:rPr>
      </w:r>
    </w:p>
    <w:p w14:paraId="71BC85BF" w14:textId="77777777">
      <w:pPr>
        <w:pBdr/>
        <w:spacing/>
        <w:ind w:right="-5"/>
        <w:jc w:val="both"/>
        <w:rPr/>
      </w:pPr>
      <w:r>
        <w:rPr>
          <w:rFonts w:ascii="Arial" w:hAnsi="Arial" w:cs="Arial"/>
          <w:b/>
        </w:rPr>
        <w:t xml:space="preserve">23.1.</w:t>
      </w:r>
      <w:r>
        <w:rPr>
          <w:rFonts w:ascii="Arial" w:hAnsi="Arial" w:cs="Arial"/>
          <w:b/>
          <w:u w:val="single"/>
        </w:rPr>
        <w:t xml:space="preserve"> </w:t>
      </w:r>
      <w:r>
        <w:rPr>
          <w:rFonts w:ascii="Arial" w:hAnsi="Arial" w:cs="Arial"/>
        </w:rPr>
        <w:t xml:space="preserve">O presente </w:t>
      </w:r>
      <w:r>
        <w:rPr>
          <w:rFonts w:ascii="Arial" w:hAnsi="Arial" w:cs="Arial"/>
          <w:b/>
        </w:rPr>
        <w:t xml:space="preserve">CONTRATO</w:t>
      </w:r>
      <w:r>
        <w:rPr>
          <w:rFonts w:ascii="Arial" w:hAnsi="Arial" w:cs="Arial"/>
        </w:rPr>
        <w:t xml:space="preserve"> fica vinculado aos termos do </w:t>
      </w:r>
      <w:r>
        <w:rPr>
          <w:rFonts w:ascii="Arial" w:hAnsi="Arial" w:cs="Arial"/>
          <w:b/>
        </w:rPr>
        <w:t xml:space="preserve">Edital de Pregão, Termo de Referência e todos os anexos que os acompanham, Ata de Registro de Preços</w:t>
      </w:r>
      <w:r>
        <w:rPr>
          <w:rFonts w:ascii="Arial" w:hAnsi="Arial" w:cs="Arial"/>
        </w:rPr>
        <w:t xml:space="preserve">, e à proposta da CONTRATADA.</w:t>
      </w:r>
      <w:r/>
    </w:p>
    <w:p w14:paraId="6863EB7E" w14:textId="77777777">
      <w:pPr>
        <w:pBdr/>
        <w:spacing/>
        <w:ind w:right="-5"/>
        <w:jc w:val="both"/>
        <w:rPr>
          <w:rFonts w:ascii="Arial" w:cs="Arial"/>
          <w:u w:val="single"/>
        </w:rPr>
      </w:pPr>
      <w:r>
        <w:rPr>
          <w:rFonts w:ascii="Arial" w:cs="Arial"/>
          <w:u w:val="single"/>
        </w:rPr>
      </w:r>
      <w:r>
        <w:rPr>
          <w:rFonts w:ascii="Arial" w:cs="Arial"/>
          <w:u w:val="single"/>
        </w:rPr>
      </w:r>
    </w:p>
    <w:p w14:paraId="5C4E2B65" w14:textId="77777777">
      <w:pPr>
        <w:pBdr/>
        <w:spacing/>
        <w:ind w:right="-5"/>
        <w:jc w:val="both"/>
        <w:rPr/>
      </w:pPr>
      <w:r>
        <w:rPr>
          <w:rFonts w:ascii="Arial" w:hAnsi="Arial" w:cs="Arial"/>
          <w:b/>
        </w:rPr>
        <w:t xml:space="preserve">CLÁUSULA VIGÉSIMA QUARTA – CASOS OMISSOS</w:t>
      </w:r>
      <w:r/>
    </w:p>
    <w:p w14:paraId="3DE3ADBD" w14:textId="77777777">
      <w:pPr>
        <w:pBdr/>
        <w:spacing/>
        <w:ind w:right="-5"/>
        <w:jc w:val="both"/>
        <w:rPr>
          <w:rFonts w:ascii="Arial" w:cs="Arial"/>
          <w:b/>
        </w:rPr>
      </w:pPr>
      <w:r>
        <w:rPr>
          <w:rFonts w:ascii="Arial" w:cs="Arial"/>
          <w:b/>
        </w:rPr>
      </w:r>
      <w:r>
        <w:rPr>
          <w:rFonts w:ascii="Arial" w:cs="Arial"/>
          <w:b/>
        </w:rPr>
      </w:r>
    </w:p>
    <w:p w14:paraId="628D02A6" w14:textId="77777777">
      <w:pPr>
        <w:pBdr/>
        <w:spacing/>
        <w:ind w:right="-5"/>
        <w:jc w:val="both"/>
        <w:rPr/>
      </w:pPr>
      <w:r>
        <w:rPr>
          <w:rFonts w:ascii="Arial" w:hAnsi="Arial" w:cs="Arial"/>
          <w:b/>
        </w:rPr>
        <w:t xml:space="preserve">24.1.</w:t>
      </w:r>
      <w:r>
        <w:rPr>
          <w:rFonts w:ascii="Arial" w:hAnsi="Arial" w:cs="Arial"/>
        </w:rPr>
        <w:t xml:space="preserve"> Os casos omissos serão decididos pelo contratante, segundo as disposições contidas na Lei nº 14.133/2021, no Dec</w:t>
      </w:r>
      <w:r>
        <w:rPr>
          <w:rFonts w:ascii="Arial" w:hAnsi="Arial" w:cs="Arial"/>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p>
    <w:p w14:paraId="56AB9616" w14:textId="77777777">
      <w:pPr>
        <w:pBdr/>
        <w:spacing/>
        <w:ind w:right="-5"/>
        <w:jc w:val="both"/>
        <w:rPr>
          <w:rFonts w:ascii="Arial" w:cs="Arial"/>
          <w:b/>
        </w:rPr>
      </w:pPr>
      <w:r>
        <w:rPr>
          <w:rFonts w:ascii="Arial" w:cs="Arial"/>
          <w:b/>
        </w:rPr>
      </w:r>
      <w:r>
        <w:rPr>
          <w:rFonts w:ascii="Arial" w:cs="Arial"/>
          <w:b/>
        </w:rPr>
      </w:r>
    </w:p>
    <w:p w14:paraId="0FA9A688" w14:textId="77777777">
      <w:pPr>
        <w:pBdr/>
        <w:spacing/>
        <w:ind w:right="-5"/>
        <w:jc w:val="both"/>
        <w:rPr/>
      </w:pPr>
      <w:r>
        <w:rPr>
          <w:rFonts w:ascii="Arial" w:hAnsi="Arial" w:cs="Arial"/>
          <w:b/>
        </w:rPr>
        <w:t xml:space="preserve">CLÁUSULA VIGÉSIMA QUINTA - DO FORO:</w:t>
      </w:r>
      <w:r/>
    </w:p>
    <w:p w14:paraId="7A666F64" w14:textId="77777777">
      <w:pPr>
        <w:pBdr/>
        <w:spacing/>
        <w:ind w:right="-5"/>
        <w:jc w:val="both"/>
        <w:rPr>
          <w:rFonts w:ascii="Arial" w:cs="Arial"/>
          <w:b/>
          <w:u w:val="single"/>
        </w:rPr>
      </w:pPr>
      <w:r>
        <w:rPr>
          <w:rFonts w:ascii="Arial" w:cs="Arial"/>
          <w:b/>
          <w:u w:val="single"/>
        </w:rPr>
      </w:r>
      <w:r>
        <w:rPr>
          <w:rFonts w:ascii="Arial" w:cs="Arial"/>
          <w:b/>
          <w:u w:val="single"/>
        </w:rPr>
      </w:r>
    </w:p>
    <w:p w14:paraId="46CC542D" w14:textId="77777777">
      <w:pPr>
        <w:pBdr/>
        <w:spacing/>
        <w:ind/>
        <w:jc w:val="both"/>
        <w:rPr/>
      </w:pPr>
      <w:r>
        <w:rPr>
          <w:rFonts w:ascii="Arial" w:hAnsi="Arial" w:cs="Arial"/>
          <w:b/>
        </w:rPr>
        <w:t xml:space="preserve">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p>
    <w:p w14:paraId="27C61E23" w14:textId="77777777">
      <w:pPr>
        <w:pBdr/>
        <w:spacing/>
        <w:ind/>
        <w:jc w:val="both"/>
        <w:rPr>
          <w:rFonts w:ascii="Arial" w:cs="Arial"/>
          <w:b/>
          <w:u w:val="single"/>
        </w:rPr>
      </w:pPr>
      <w:r>
        <w:rPr>
          <w:rFonts w:ascii="Arial" w:cs="Arial"/>
          <w:b/>
          <w:u w:val="single"/>
        </w:rPr>
      </w:r>
      <w:r>
        <w:rPr>
          <w:rFonts w:ascii="Arial" w:cs="Arial"/>
          <w:b/>
          <w:u w:val="single"/>
        </w:rPr>
      </w:r>
    </w:p>
    <w:p w14:paraId="767EEBBE" w14:textId="77777777">
      <w:pPr>
        <w:pBdr/>
        <w:spacing/>
        <w:ind/>
        <w:jc w:val="both"/>
        <w:rPr>
          <w:rFonts w:ascii="Arial" w:cs="Arial"/>
          <w:b/>
          <w:u w:val="single"/>
        </w:rPr>
      </w:pPr>
      <w:r>
        <w:rPr>
          <w:rFonts w:ascii="Arial" w:cs="Arial"/>
          <w:b/>
          <w:u w:val="single"/>
        </w:rPr>
      </w:r>
      <w:r>
        <w:rPr>
          <w:rFonts w:ascii="Arial" w:cs="Arial"/>
          <w:b/>
          <w:u w:val="single"/>
        </w:rPr>
      </w:r>
    </w:p>
    <w:p w14:paraId="7E26DFB7" w14:textId="77777777">
      <w:pPr>
        <w:pBdr/>
        <w:spacing/>
        <w:ind/>
        <w:jc w:val="both"/>
        <w:rPr>
          <w:rFonts w:ascii="Arial" w:cs="Arial"/>
          <w:b/>
          <w:u w:val="single"/>
        </w:rPr>
      </w:pPr>
      <w:r>
        <w:rPr>
          <w:rFonts w:ascii="Arial" w:cs="Arial"/>
          <w:b/>
          <w:u w:val="single"/>
        </w:rPr>
      </w:r>
      <w:r>
        <w:rPr>
          <w:rFonts w:ascii="Arial" w:cs="Arial"/>
          <w:b/>
          <w:u w:val="single"/>
        </w:rPr>
      </w:r>
    </w:p>
    <w:p w14:paraId="34616DE3" w14:textId="77777777">
      <w:pPr>
        <w:pBdr/>
        <w:spacing/>
        <w:ind w:firstLine="708"/>
        <w:jc w:val="both"/>
        <w:rPr/>
      </w:pPr>
      <w:r>
        <w:rPr>
          <w:rFonts w:ascii="Arial" w:hAnsi="Arial" w:cs="Arial"/>
        </w:rPr>
        <w:t xml:space="preserve">E, para firmeza e validade do que foi pactuado, lavrou-se o presente </w:t>
      </w:r>
      <w:r>
        <w:rPr>
          <w:rFonts w:ascii="Arial" w:hAnsi="Arial" w:cs="Arial"/>
          <w:b/>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rPr>
        <w:t xml:space="preserve">CONTRATANTE </w:t>
      </w:r>
      <w:r>
        <w:rPr>
          <w:rFonts w:ascii="Arial" w:hAnsi="Arial" w:cs="Arial"/>
        </w:rPr>
        <w:t xml:space="preserve">e da </w:t>
      </w:r>
      <w:r>
        <w:rPr>
          <w:rFonts w:ascii="Arial" w:hAnsi="Arial" w:cs="Arial"/>
          <w:b/>
        </w:rPr>
        <w:t xml:space="preserve">CONTRATADA</w:t>
      </w:r>
      <w:r>
        <w:rPr>
          <w:rFonts w:ascii="Arial" w:hAnsi="Arial" w:cs="Arial"/>
        </w:rPr>
        <w:t xml:space="preserve">, e pelas testemunhas abaixo relacionadas.</w:t>
      </w:r>
      <w:r/>
    </w:p>
    <w:p w14:paraId="18C1616D" w14:textId="77777777">
      <w:pPr>
        <w:pBdr/>
        <w:spacing/>
        <w:ind w:right="-20"/>
        <w:jc w:val="right"/>
        <w:rPr>
          <w:rFonts w:ascii="Arial" w:cs="Arial"/>
          <w:spacing w:val="1"/>
        </w:rPr>
      </w:pPr>
      <w:r>
        <w:rPr>
          <w:rFonts w:ascii="Arial" w:cs="Arial"/>
          <w:spacing w:val="1"/>
        </w:rPr>
      </w:r>
      <w:r>
        <w:rPr>
          <w:rFonts w:ascii="Arial" w:cs="Arial"/>
          <w:spacing w:val="1"/>
        </w:rPr>
      </w:r>
    </w:p>
    <w:p w14:paraId="4DC362C5" w14:textId="0D8073B4">
      <w:pPr>
        <w:pBdr/>
        <w:spacing/>
        <w:ind w:right="-20"/>
        <w:jc w:val="right"/>
        <w:rPr/>
      </w:pPr>
      <w:r>
        <w:rPr>
          <w:rFonts w:ascii="Arial" w:hAnsi="Arial" w:cs="Arial"/>
          <w:spacing w:val="1"/>
        </w:rPr>
        <w:t xml:space="preserve">Rondonópolis</w:t>
      </w:r>
      <w:r>
        <w:rPr>
          <w:rFonts w:ascii="Arial" w:cs="Arial"/>
        </w:rPr>
        <w:t xml:space="preserve">-</w:t>
      </w:r>
      <w:r>
        <w:rPr>
          <w:rFonts w:ascii="Arial" w:hAnsi="Arial" w:cs="Arial"/>
          <w:spacing w:val="2"/>
        </w:rPr>
        <w:t xml:space="preserve">MT.</w:t>
      </w:r>
      <w:r>
        <w:rPr>
          <w:rFonts w:ascii="Arial" w:cs="Arial"/>
        </w:rPr>
        <w:t xml:space="preserve">,</w:t>
      </w:r>
      <w:r>
        <w:rPr>
          <w:rFonts w:ascii="Arial" w:hAnsi="Arial" w:cs="Arial"/>
          <w:spacing w:val="10"/>
        </w:rPr>
        <w:t xml:space="preserve"> ___ de ____________ </w:t>
      </w:r>
      <w:r>
        <w:rPr>
          <w:rFonts w:ascii="Arial" w:hAnsi="Arial" w:cs="Arial"/>
          <w:spacing w:val="2"/>
        </w:rPr>
        <w:t xml:space="preserve">d</w:t>
      </w:r>
      <w:r>
        <w:rPr>
          <w:rFonts w:ascii="Arial" w:hAnsi="Arial" w:cs="Arial"/>
        </w:rPr>
        <w:t xml:space="preserve">e</w:t>
      </w:r>
      <w:r>
        <w:rPr>
          <w:rFonts w:ascii="Arial" w:hAnsi="Arial" w:cs="Arial"/>
          <w:spacing w:val="10"/>
        </w:rPr>
        <w:t xml:space="preserve"> </w:t>
      </w:r>
      <w:r>
        <w:rPr>
          <w:rFonts w:ascii="Arial" w:hAnsi="Arial" w:cs="Arial"/>
        </w:rPr>
        <w:t xml:space="preserve">202</w:t>
      </w:r>
      <w:r>
        <w:rPr>
          <w:rFonts w:ascii="Arial" w:hAnsi="Arial" w:cs="Arial"/>
        </w:rPr>
        <w:t xml:space="preserve">6</w:t>
      </w:r>
      <w:r>
        <w:rPr>
          <w:rFonts w:ascii="Arial" w:hAnsi="Arial" w:cs="Arial"/>
        </w:rPr>
        <w:t xml:space="preserve">.</w:t>
      </w:r>
      <w:r/>
    </w:p>
    <w:tbl>
      <w:tblPr>
        <w:tblInd w:w="-140" w:type="dxa"/>
        <w:tblW w:w="0" w:type="auto"/>
        <w:tblCellMar>
          <w:left w:w="0" w:type="dxa"/>
          <w:right w:w="0" w:type="dxa"/>
        </w:tblCellMar>
        <w:tblBorders/>
        <w:tblLayout w:type="fixed"/>
        <w:tblLook w:val="04A0" w:firstRow="1" w:lastRow="0" w:firstColumn="1" w:lastColumn="0" w:noHBand="0" w:noVBand="1"/>
      </w:tblPr>
      <w:tblGrid>
        <w:gridCol w:w="4929"/>
        <w:gridCol w:w="720"/>
        <w:gridCol w:w="3760"/>
      </w:tblGrid>
      <w:tr>
        <w:trPr/>
        <w:tc>
          <w:tcPr>
            <w:gridSpan w:val="2"/>
            <w:tcBorders>
              <w:top w:val="none" w:color="000000" w:sz="4" w:space="0"/>
              <w:left w:val="none" w:color="000000" w:sz="4" w:space="0"/>
              <w:bottom w:val="none" w:color="000000" w:sz="4" w:space="0"/>
              <w:right w:val="none" w:color="000000" w:sz="4" w:space="0"/>
            </w:tcBorders>
            <w:tcMar>
              <w:left w:w="70" w:type="dxa"/>
              <w:right w:w="70" w:type="dxa"/>
            </w:tcMar>
            <w:tcW w:w="5649" w:type="dxa"/>
            <w:textDirection w:val="lrTb"/>
            <w:noWrap w:val="false"/>
          </w:tcPr>
          <w:p w14:paraId="5BB1070A" w14:textId="77777777">
            <w:pPr>
              <w:pStyle w:val="906"/>
              <w:pBdr/>
              <w:spacing/>
              <w:ind/>
              <w:jc w:val="center"/>
              <w:rPr/>
            </w:pPr>
            <w:r>
              <w:rPr>
                <w:rFonts w:ascii="Arial" w:hAnsi="Arial" w:cs="Arial"/>
              </w:rPr>
              <w:t xml:space="preserve">O MUNICÍPIO DE RONDONÓPOLIS-MT.</w:t>
            </w:r>
            <w:r/>
          </w:p>
          <w:p w14:paraId="316804EB" w14:textId="77777777">
            <w:pPr>
              <w:pBdr/>
              <w:spacing/>
              <w:ind/>
              <w:jc w:val="center"/>
              <w:rPr/>
            </w:pPr>
            <w:r>
              <w:rPr>
                <w:rFonts w:ascii="Arial" w:hAnsi="Arial" w:cs="Arial"/>
              </w:rPr>
              <w:t xml:space="preserve">CONTRATANTE</w:t>
            </w:r>
            <w:r/>
          </w:p>
        </w:tc>
        <w:tc>
          <w:tcPr>
            <w:tcBorders>
              <w:top w:val="none" w:color="000000" w:sz="4" w:space="0"/>
              <w:left w:val="none" w:color="000000" w:sz="4" w:space="0"/>
              <w:bottom w:val="none" w:color="000000" w:sz="4" w:space="0"/>
              <w:right w:val="none" w:color="000000" w:sz="4" w:space="0"/>
            </w:tcBorders>
            <w:tcMar>
              <w:left w:w="70" w:type="dxa"/>
              <w:right w:w="70" w:type="dxa"/>
            </w:tcMar>
            <w:tcW w:w="3760" w:type="dxa"/>
            <w:textDirection w:val="lrTb"/>
            <w:noWrap w:val="false"/>
          </w:tcPr>
          <w:p w14:paraId="7E916FA1" w14:textId="77777777">
            <w:pPr>
              <w:pStyle w:val="906"/>
              <w:pBdr/>
              <w:spacing/>
              <w:ind/>
              <w:jc w:val="center"/>
              <w:rPr>
                <w:rFonts w:ascii="Arial" w:cs="Arial"/>
              </w:rPr>
            </w:pPr>
            <w:r>
              <w:rPr>
                <w:rFonts w:ascii="Arial" w:cs="Arial"/>
              </w:rPr>
            </w:r>
            <w:r>
              <w:rPr>
                <w:rFonts w:ascii="Arial" w:cs="Arial"/>
              </w:rPr>
            </w:r>
          </w:p>
          <w:p w14:paraId="2C745F89" w14:textId="77777777">
            <w:pPr>
              <w:pStyle w:val="906"/>
              <w:pBdr/>
              <w:spacing/>
              <w:ind/>
              <w:jc w:val="center"/>
              <w:rPr/>
            </w:pPr>
            <w:r>
              <w:rPr>
                <w:rFonts w:ascii="Arial" w:hAnsi="Arial" w:cs="Arial"/>
              </w:rPr>
              <w:t xml:space="preserve">CONTRATADA</w:t>
            </w:r>
            <w:r/>
          </w:p>
          <w:p w14:paraId="0781E1EA" w14:textId="77777777">
            <w:pPr>
              <w:pStyle w:val="906"/>
              <w:pBdr/>
              <w:spacing/>
              <w:ind/>
              <w:jc w:val="center"/>
              <w:rPr>
                <w:rFonts w:ascii="Arial" w:cs="Arial"/>
              </w:rPr>
            </w:pPr>
            <w:r>
              <w:rPr>
                <w:rFonts w:ascii="Arial" w:cs="Arial"/>
              </w:rPr>
            </w:r>
            <w:r>
              <w:rPr>
                <w:rFonts w:ascii="Arial" w:cs="Arial"/>
              </w:rPr>
            </w:r>
          </w:p>
        </w:tc>
      </w:tr>
      <w:tr>
        <w:trPr/>
        <w:tc>
          <w:tcPr>
            <w:tcBorders>
              <w:top w:val="none" w:color="000000" w:sz="4" w:space="0"/>
              <w:left w:val="none" w:color="000000" w:sz="4" w:space="0"/>
              <w:bottom w:val="none" w:color="000000" w:sz="4" w:space="0"/>
              <w:right w:val="none" w:color="000000" w:sz="4" w:space="0"/>
            </w:tcBorders>
            <w:tcMar>
              <w:left w:w="70" w:type="dxa"/>
              <w:right w:w="70" w:type="dxa"/>
            </w:tcMar>
            <w:tcW w:w="4929" w:type="dxa"/>
            <w:textDirection w:val="lrTb"/>
            <w:noWrap w:val="false"/>
          </w:tcPr>
          <w:p w14:paraId="3B15534C" w14:textId="77777777">
            <w:pPr>
              <w:pBdr/>
              <w:spacing/>
              <w:ind/>
              <w:jc w:val="center"/>
              <w:rPr/>
            </w:pPr>
            <w:r>
              <w:rPr>
                <w:rFonts w:ascii="Arial" w:hAnsi="Arial" w:cs="Arial"/>
              </w:rPr>
              <w:t xml:space="preserve">TESTEMUNHAS:__________________________</w:t>
            </w:r>
            <w:r/>
          </w:p>
          <w:p w14:paraId="3C294B59" w14:textId="77777777">
            <w:pPr>
              <w:pBdr/>
              <w:spacing/>
              <w:ind/>
              <w:jc w:val="center"/>
              <w:rPr/>
            </w:pPr>
            <w:r>
              <w:rPr>
                <w:rFonts w:ascii="Arial" w:hAnsi="Arial" w:cs="Arial"/>
              </w:rPr>
              <w:t xml:space="preserve">                       RG N.º</w:t>
            </w:r>
            <w:r/>
          </w:p>
        </w:tc>
        <w:tc>
          <w:tcPr>
            <w:gridSpan w:val="2"/>
            <w:tcBorders>
              <w:top w:val="none" w:color="000000" w:sz="4" w:space="0"/>
              <w:left w:val="none" w:color="000000" w:sz="4" w:space="0"/>
              <w:bottom w:val="none" w:color="000000" w:sz="4" w:space="0"/>
              <w:right w:val="none" w:color="000000" w:sz="4" w:space="0"/>
            </w:tcBorders>
            <w:tcMar>
              <w:left w:w="70" w:type="dxa"/>
              <w:right w:w="70" w:type="dxa"/>
            </w:tcMar>
            <w:tcW w:w="4480" w:type="dxa"/>
            <w:textDirection w:val="lrTb"/>
            <w:noWrap w:val="false"/>
          </w:tcPr>
          <w:p w14:paraId="173C6CC7" w14:textId="77777777">
            <w:pPr>
              <w:pStyle w:val="906"/>
              <w:pBdr/>
              <w:spacing/>
              <w:ind/>
              <w:jc w:val="center"/>
              <w:rPr/>
            </w:pPr>
            <w:r>
              <w:rPr>
                <w:rFonts w:ascii="Arial" w:hAnsi="Arial" w:cs="Arial"/>
              </w:rPr>
              <w:t xml:space="preserve">______________________________</w:t>
            </w:r>
            <w:r/>
          </w:p>
          <w:p w14:paraId="0425C0CC" w14:textId="77777777">
            <w:pPr>
              <w:pStyle w:val="906"/>
              <w:pBdr/>
              <w:spacing/>
              <w:ind/>
              <w:jc w:val="center"/>
              <w:rPr/>
            </w:pPr>
            <w:r>
              <w:rPr>
                <w:rFonts w:ascii="Arial" w:hAnsi="Arial" w:cs="Arial"/>
              </w:rPr>
              <w:t xml:space="preserve">RG N.º</w:t>
            </w:r>
            <w:r/>
          </w:p>
        </w:tc>
      </w:tr>
    </w:tbl>
    <w:p w14:paraId="48EFC0F9" w14:textId="77777777">
      <w:pPr>
        <w:pBdr/>
        <w:spacing/>
        <w:ind/>
        <w:rPr>
          <w:rFonts w:ascii="Arial" w:cs="Arial"/>
        </w:rPr>
      </w:pPr>
      <w:r>
        <w:rPr>
          <w:rFonts w:ascii="Arial" w:cs="Arial"/>
        </w:rPr>
      </w:r>
      <w:r>
        <w:rPr>
          <w:rFonts w:ascii="Arial" w:cs="Arial"/>
        </w:rPr>
      </w:r>
    </w:p>
    <w:p w14:paraId="30CAD9D0" w14:textId="77777777">
      <w:pPr>
        <w:pBdr/>
        <w:spacing/>
        <w:ind/>
        <w:rPr/>
      </w:pPr>
      <w:r>
        <w:rPr>
          <w:rFonts w:ascii="Arial" w:hAnsi="Arial" w:cs="Arial"/>
        </w:rPr>
        <w:t xml:space="preserve">                                                    DE ACORDO:________________________________</w:t>
      </w:r>
      <w:r/>
    </w:p>
    <w:p w14:paraId="7112D3BB" w14:textId="77777777">
      <w:pPr>
        <w:pBdr/>
        <w:tabs>
          <w:tab w:val="right" w:leader="none" w:pos="9072"/>
        </w:tabs>
        <w:spacing/>
        <w:ind/>
        <w:jc w:val="center"/>
        <w:rPr/>
      </w:pPr>
      <w:r>
        <w:rPr>
          <w:rFonts w:ascii="Arial" w:hAnsi="Arial" w:cs="Arial"/>
        </w:rPr>
        <w:t xml:space="preserve">                       ASSESSORIA JURÍDICA</w:t>
      </w:r>
      <w:r/>
    </w:p>
    <w:p w14:paraId="7A519E99" w14:textId="77777777">
      <w:pPr>
        <w:pBdr/>
        <w:spacing/>
        <w:ind/>
        <w:jc w:val="both"/>
        <w:rPr>
          <w:rFonts w:ascii="Arial" w:cs="Arial"/>
          <w:b/>
        </w:rPr>
      </w:pPr>
      <w:r>
        <w:rPr>
          <w:rFonts w:ascii="Arial" w:cs="Arial"/>
          <w:b/>
        </w:rPr>
      </w:r>
      <w:r>
        <w:rPr>
          <w:rFonts w:ascii="Arial" w:cs="Arial"/>
          <w:b/>
        </w:rPr>
      </w:r>
    </w:p>
    <w:p w14:paraId="283E428D" w14:textId="77777777">
      <w:pPr>
        <w:pageBreakBefore w:val="true"/>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pPr>
      <w:r>
        <w:rPr>
          <w:rFonts w:ascii="Arial" w:hAnsi="Arial" w:cs="Arial"/>
          <w:b/>
        </w:rPr>
        <w:t xml:space="preserve">PAPEL TIMBRADO DA EMPRESA LICITANTE</w:t>
      </w:r>
      <w:r/>
    </w:p>
    <w:p w14:paraId="778BF582" w14:textId="77777777">
      <w:pPr>
        <w:pBdr/>
        <w:spacing/>
        <w:ind/>
        <w:jc w:val="both"/>
        <w:rPr>
          <w:rFonts w:ascii="Arial" w:cs="Arial"/>
          <w:b/>
        </w:rPr>
      </w:pPr>
      <w:r>
        <w:rPr>
          <w:rFonts w:ascii="Arial" w:cs="Arial"/>
          <w:b/>
        </w:rPr>
      </w:r>
      <w:r>
        <w:rPr>
          <w:rFonts w:ascii="Arial" w:cs="Arial"/>
          <w:b/>
        </w:rPr>
      </w:r>
    </w:p>
    <w:p w14:paraId="4F5677B5" w14:textId="77777777">
      <w:pPr>
        <w:pStyle w:val="873"/>
        <w:pBdr/>
        <w:spacing w:after="0" w:before="0"/>
        <w:ind/>
        <w:rPr>
          <w:lang w:val="pt-BR"/>
        </w:rPr>
      </w:pPr>
      <w:r/>
      <w:bookmarkStart w:id="95" w:name="_Toc23926"/>
      <w:r>
        <w:rPr>
          <w:sz w:val="20"/>
          <w:lang w:val="pt-BR"/>
        </w:rPr>
        <w:t xml:space="preserve">ANEXO IV: </w:t>
      </w:r>
      <w:r>
        <w:rPr>
          <w:sz w:val="20"/>
          <w:szCs w:val="20"/>
          <w:lang w:val="pt-BR"/>
        </w:rPr>
        <w:t xml:space="preserve">MODELO DE PROPOSTA COMERCIAL.</w:t>
      </w:r>
      <w:bookmarkEnd w:id="95"/>
      <w:r/>
      <w:r>
        <w:rPr>
          <w:lang w:val="pt-BR"/>
        </w:rPr>
      </w:r>
    </w:p>
    <w:p w14:paraId="433B41C8" w14:textId="77777777">
      <w:pPr>
        <w:pBdr/>
        <w:spacing/>
        <w:ind/>
        <w:jc w:val="both"/>
        <w:rPr>
          <w:rFonts w:ascii="Arial" w:cs="Arial"/>
          <w:b/>
        </w:rPr>
      </w:pPr>
      <w:r>
        <w:rPr>
          <w:rFonts w:ascii="Arial" w:cs="Arial"/>
          <w:b/>
        </w:rPr>
      </w:r>
      <w:r>
        <w:rPr>
          <w:rFonts w:ascii="Arial" w:cs="Arial"/>
          <w:b/>
        </w:rPr>
      </w:r>
    </w:p>
    <w:tbl>
      <w:tblPr>
        <w:tblInd w:w="-110" w:type="dxa"/>
        <w:tblW w:w="0" w:type="auto"/>
        <w:tblCellMar>
          <w:left w:w="0" w:type="dxa"/>
          <w:right w:w="0" w:type="dxa"/>
        </w:tblCellMar>
        <w:tblBorders/>
        <w:tblLayout w:type="fixed"/>
        <w:tblLook w:val="04A0" w:firstRow="1" w:lastRow="0" w:firstColumn="1" w:lastColumn="0" w:noHBand="0" w:noVBand="1"/>
      </w:tblPr>
      <w:tblGrid>
        <w:gridCol w:w="3418"/>
        <w:gridCol w:w="826"/>
        <w:gridCol w:w="1623"/>
        <w:gridCol w:w="1164"/>
        <w:gridCol w:w="437"/>
        <w:gridCol w:w="2817"/>
      </w:tblGrid>
      <w:tr>
        <w:trPr>
          <w:trHeight w:val="255"/>
        </w:trPr>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7031" w:type="dxa"/>
            <w:textDirection w:val="lrTb"/>
            <w:noWrap w:val="false"/>
          </w:tcPr>
          <w:p w14:paraId="53576621" w14:textId="77777777">
            <w:pPr>
              <w:pBdr/>
              <w:tabs>
                <w:tab w:val="left" w:leader="none" w:pos="2714"/>
                <w:tab w:val="left" w:leader="none" w:pos="10419"/>
              </w:tabs>
              <w:spacing/>
              <w:ind/>
              <w:rPr/>
            </w:pPr>
            <w:r>
              <w:rPr>
                <w:rFonts w:ascii="Arial" w:hAnsi="Arial" w:cs="Arial"/>
                <w:b/>
              </w:rPr>
              <w:t xml:space="preserve">Licitante Razão Social:</w:t>
            </w:r>
            <w:r/>
          </w:p>
        </w:tc>
        <w:tc>
          <w:tcPr>
            <w:gridSpan w:val="2"/>
            <w:tcBorders>
              <w:top w:val="single" w:color="000000" w:sz="4" w:space="0"/>
              <w:left w:val="single" w:color="000000" w:sz="4" w:space="0"/>
              <w:bottom w:val="single" w:color="000000" w:sz="4" w:space="0"/>
              <w:right w:val="single" w:color="000000" w:sz="4" w:space="0"/>
            </w:tcBorders>
            <w:tcMar>
              <w:left w:w="108" w:type="dxa"/>
              <w:right w:w="108" w:type="dxa"/>
            </w:tcMar>
            <w:tcW w:w="3254" w:type="dxa"/>
            <w:textDirection w:val="lrTb"/>
            <w:noWrap w:val="false"/>
          </w:tcPr>
          <w:p w14:paraId="5AF5DCF9" w14:textId="77777777">
            <w:pPr>
              <w:pBdr/>
              <w:tabs>
                <w:tab w:val="left" w:leader="none" w:pos="2714"/>
                <w:tab w:val="left" w:leader="none" w:pos="10419"/>
              </w:tabs>
              <w:spacing/>
              <w:ind/>
              <w:rPr/>
            </w:pPr>
            <w:r>
              <w:rPr>
                <w:rFonts w:ascii="Arial" w:hAnsi="Arial" w:cs="Arial"/>
                <w:b/>
              </w:rPr>
              <w:t xml:space="preserve">CNPJ N.º:</w:t>
            </w:r>
            <w:r/>
          </w:p>
        </w:tc>
      </w:tr>
      <w:tr>
        <w:trPr>
          <w:trHeight w:val="255"/>
        </w:trPr>
        <w:tc>
          <w:tcPr>
            <w:tcBorders>
              <w:top w:val="single" w:color="000000" w:sz="4" w:space="0"/>
              <w:left w:val="single" w:color="000000" w:sz="4" w:space="0"/>
              <w:bottom w:val="single" w:color="000000" w:sz="4" w:space="0"/>
              <w:right w:val="single" w:color="000000" w:sz="4" w:space="0"/>
            </w:tcBorders>
            <w:tcMar>
              <w:left w:w="108" w:type="dxa"/>
              <w:right w:w="108" w:type="dxa"/>
            </w:tcMar>
            <w:tcW w:w="3418" w:type="dxa"/>
            <w:textDirection w:val="lrTb"/>
            <w:noWrap w:val="false"/>
          </w:tcPr>
          <w:p w14:paraId="036777BD" w14:textId="77777777">
            <w:pPr>
              <w:pBdr/>
              <w:tabs>
                <w:tab w:val="left" w:leader="none" w:pos="2714"/>
                <w:tab w:val="left" w:leader="none" w:pos="10419"/>
              </w:tabs>
              <w:spacing/>
              <w:ind/>
              <w:rPr/>
            </w:pPr>
            <w:r>
              <w:rPr>
                <w:rFonts w:ascii="Arial" w:hAnsi="Arial" w:cs="Arial"/>
                <w:b/>
              </w:rPr>
              <w:t xml:space="preserve">Telefone fixo:</w:t>
            </w:r>
            <w:r/>
          </w:p>
        </w:tc>
        <w:tc>
          <w:tcPr>
            <w:gridSpan w:val="2"/>
            <w:tcBorders>
              <w:top w:val="single" w:color="000000" w:sz="4" w:space="0"/>
              <w:left w:val="single" w:color="000000" w:sz="4" w:space="0"/>
              <w:bottom w:val="single" w:color="000000" w:sz="4" w:space="0"/>
              <w:right w:val="single" w:color="000000" w:sz="4" w:space="0"/>
            </w:tcBorders>
            <w:tcMar>
              <w:left w:w="108" w:type="dxa"/>
              <w:right w:w="108" w:type="dxa"/>
            </w:tcMar>
            <w:tcW w:w="2449" w:type="dxa"/>
            <w:textDirection w:val="lrTb"/>
            <w:noWrap w:val="false"/>
          </w:tcPr>
          <w:p w14:paraId="33694542" w14:textId="77777777">
            <w:pPr>
              <w:pBdr/>
              <w:tabs>
                <w:tab w:val="left" w:leader="none" w:pos="2714"/>
                <w:tab w:val="left" w:leader="none" w:pos="10419"/>
              </w:tabs>
              <w:spacing/>
              <w:ind/>
              <w:rPr/>
            </w:pPr>
            <w:r>
              <w:rPr>
                <w:rFonts w:ascii="Arial" w:hAnsi="Arial" w:cs="Arial"/>
                <w:b/>
              </w:rPr>
              <w:t xml:space="preserve">Celular:</w:t>
            </w:r>
            <w:r/>
          </w:p>
        </w:tc>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4418" w:type="dxa"/>
            <w:textDirection w:val="lrTb"/>
            <w:noWrap w:val="false"/>
          </w:tcPr>
          <w:p w14:paraId="6892C646" w14:textId="77777777">
            <w:pPr>
              <w:pBdr/>
              <w:tabs>
                <w:tab w:val="left" w:leader="none" w:pos="2714"/>
                <w:tab w:val="left" w:leader="none" w:pos="10419"/>
              </w:tabs>
              <w:spacing/>
              <w:ind/>
              <w:rPr/>
            </w:pPr>
            <w:r>
              <w:rPr>
                <w:rFonts w:ascii="Arial" w:hAnsi="Arial" w:cs="Arial"/>
                <w:b/>
              </w:rPr>
              <w:t xml:space="preserve">Endereço eletrônico e-mail:</w:t>
            </w:r>
            <w:r/>
          </w:p>
        </w:tc>
      </w:tr>
      <w:tr>
        <w:trPr>
          <w:trHeight w:val="255"/>
        </w:trPr>
        <w:tc>
          <w:tcPr>
            <w:gridSpan w:val="6"/>
            <w:tcBorders>
              <w:top w:val="single" w:color="000000" w:sz="4" w:space="0"/>
              <w:left w:val="single" w:color="000000" w:sz="4" w:space="0"/>
              <w:bottom w:val="single" w:color="000000" w:sz="4" w:space="0"/>
              <w:right w:val="single" w:color="000000" w:sz="4" w:space="0"/>
            </w:tcBorders>
            <w:tcMar>
              <w:left w:w="108" w:type="dxa"/>
              <w:right w:w="108" w:type="dxa"/>
            </w:tcMar>
            <w:tcW w:w="10285" w:type="dxa"/>
            <w:textDirection w:val="lrTb"/>
            <w:noWrap w:val="false"/>
          </w:tcPr>
          <w:p w14:paraId="1B5D1470" w14:textId="77777777">
            <w:pPr>
              <w:pBdr/>
              <w:tabs>
                <w:tab w:val="left" w:leader="none" w:pos="2714"/>
                <w:tab w:val="left" w:leader="none" w:pos="10419"/>
              </w:tabs>
              <w:spacing/>
              <w:ind/>
              <w:rPr/>
            </w:pPr>
            <w:r>
              <w:rPr>
                <w:rFonts w:ascii="Arial" w:hAnsi="Arial" w:cs="Arial"/>
                <w:b/>
              </w:rPr>
              <w:t xml:space="preserve">Endereço Completo Rua, Nº, Bairro, Município, Estado, Cep:</w:t>
            </w:r>
            <w:r/>
          </w:p>
        </w:tc>
      </w:tr>
      <w:tr>
        <w:trPr>
          <w:trHeight w:val="272"/>
        </w:trPr>
        <w:tc>
          <w:tcPr>
            <w:gridSpan w:val="2"/>
            <w:tcBorders>
              <w:top w:val="single" w:color="000000" w:sz="4" w:space="0"/>
              <w:left w:val="single" w:color="000000" w:sz="4" w:space="0"/>
              <w:bottom w:val="single" w:color="000000" w:sz="4" w:space="0"/>
              <w:right w:val="single" w:color="000000" w:sz="4" w:space="0"/>
            </w:tcBorders>
            <w:tcMar>
              <w:left w:w="108" w:type="dxa"/>
              <w:right w:w="108" w:type="dxa"/>
            </w:tcMar>
            <w:tcW w:w="4244" w:type="dxa"/>
            <w:textDirection w:val="lrTb"/>
            <w:noWrap w:val="false"/>
          </w:tcPr>
          <w:p w14:paraId="78655642" w14:textId="77777777">
            <w:pPr>
              <w:pBdr/>
              <w:spacing/>
              <w:ind/>
              <w:jc w:val="both"/>
              <w:rPr/>
            </w:pPr>
            <w:r>
              <w:rPr>
                <w:rFonts w:ascii="Arial" w:hAnsi="Arial" w:cs="Arial"/>
                <w:b/>
              </w:rPr>
              <w:t xml:space="preserve">Conta Corrente nº:</w:t>
            </w:r>
            <w:r/>
          </w:p>
        </w:tc>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3224" w:type="dxa"/>
            <w:textDirection w:val="lrTb"/>
            <w:noWrap w:val="false"/>
          </w:tcPr>
          <w:p w14:paraId="62AB1D28" w14:textId="77777777">
            <w:pPr>
              <w:pBdr/>
              <w:spacing/>
              <w:ind/>
              <w:jc w:val="both"/>
              <w:rPr/>
            </w:pPr>
            <w:r>
              <w:rPr>
                <w:rFonts w:ascii="Arial" w:hAnsi="Arial" w:cs="Arial"/>
                <w:b/>
              </w:rPr>
              <w:t xml:space="preserve">Agência:</w:t>
            </w:r>
            <w:r/>
          </w:p>
        </w:tc>
        <w:tc>
          <w:tcPr>
            <w:tcBorders>
              <w:top w:val="single" w:color="000000" w:sz="4" w:space="0"/>
              <w:left w:val="single" w:color="000000" w:sz="4" w:space="0"/>
              <w:bottom w:val="single" w:color="000000" w:sz="4" w:space="0"/>
              <w:right w:val="single" w:color="000000" w:sz="4" w:space="0"/>
            </w:tcBorders>
            <w:tcMar>
              <w:left w:w="108" w:type="dxa"/>
              <w:right w:w="108" w:type="dxa"/>
            </w:tcMar>
            <w:tcW w:w="2817" w:type="dxa"/>
            <w:textDirection w:val="lrTb"/>
            <w:noWrap w:val="false"/>
          </w:tcPr>
          <w:p w14:paraId="598A790C" w14:textId="77777777">
            <w:pPr>
              <w:pBdr/>
              <w:spacing/>
              <w:ind/>
              <w:jc w:val="both"/>
              <w:rPr/>
            </w:pPr>
            <w:r>
              <w:rPr>
                <w:rFonts w:ascii="Arial" w:hAnsi="Arial" w:cs="Arial"/>
                <w:b/>
              </w:rPr>
              <w:t xml:space="preserve">Banco:</w:t>
            </w:r>
            <w:r/>
          </w:p>
        </w:tc>
      </w:tr>
    </w:tbl>
    <w:p w14:paraId="6D29D8E9" w14:textId="77777777">
      <w:pPr>
        <w:pBdr/>
        <w:tabs>
          <w:tab w:val="left" w:leader="none" w:pos="2714"/>
          <w:tab w:val="left" w:leader="none" w:pos="10419"/>
        </w:tabs>
        <w:spacing/>
        <w:ind/>
        <w:rPr>
          <w:rFonts w:ascii="Arial" w:cs="Arial"/>
          <w:b/>
        </w:rPr>
      </w:pPr>
      <w:r>
        <w:rPr>
          <w:rFonts w:ascii="Arial" w:cs="Arial"/>
          <w:b/>
        </w:rPr>
      </w:r>
      <w:r>
        <w:rPr>
          <w:rFonts w:ascii="Arial" w:cs="Arial"/>
          <w:b/>
        </w:rPr>
      </w:r>
    </w:p>
    <w:p w14:paraId="79735A87" w14:textId="55DD5E13">
      <w:pPr>
        <w:pBdr/>
        <w:tabs>
          <w:tab w:val="left" w:leader="none" w:pos="2714"/>
          <w:tab w:val="left" w:leader="none" w:pos="10419"/>
        </w:tabs>
        <w:spacing/>
        <w:ind/>
        <w:rPr/>
      </w:pPr>
      <w:r>
        <w:rPr>
          <w:rFonts w:ascii="Arial" w:hAnsi="Arial" w:cs="Arial"/>
          <w:b/>
        </w:rPr>
        <w:t xml:space="preserve">Licitação Modalidade: Pregão Eletrônico N.º: </w:t>
      </w:r>
      <w:r>
        <w:rPr>
          <w:rFonts w:ascii="Arial" w:hAnsi="Arial" w:cs="Arial"/>
          <w:b/>
        </w:rPr>
        <w:t xml:space="preserve">14</w:t>
      </w:r>
      <w:r>
        <w:rPr>
          <w:rFonts w:ascii="Arial" w:hAnsi="Arial" w:cs="Arial"/>
          <w:b/>
        </w:rPr>
        <w:t xml:space="preserve">/202</w:t>
      </w:r>
      <w:r>
        <w:rPr>
          <w:rFonts w:ascii="Arial" w:hAnsi="Arial" w:cs="Arial"/>
          <w:b/>
        </w:rPr>
        <w:t xml:space="preserve">6</w:t>
      </w:r>
      <w:r>
        <w:rPr>
          <w:rFonts w:ascii="Arial" w:hAnsi="Arial" w:cs="Arial"/>
          <w:b/>
        </w:rPr>
        <w:t xml:space="preserve">. Tipo: </w:t>
      </w:r>
      <w:r>
        <w:rPr>
          <w:rFonts w:ascii="Arial" w:hAnsi="Arial" w:cs="Arial"/>
          <w:b/>
          <w:color w:val="000000"/>
        </w:rPr>
        <w:t xml:space="preserve">Menor Preço / Menor Taxa, aplicado sobre a média dos preços levantados pela equipe </w:t>
      </w:r>
      <w:r>
        <w:rPr>
          <w:rFonts w:ascii="Arial" w:hAnsi="Arial" w:cs="Arial"/>
          <w:b/>
          <w:color w:val="000000"/>
        </w:rPr>
        <w:t xml:space="preserve">da </w:t>
      </w:r>
      <w:r>
        <w:rPr>
          <w:rFonts w:ascii="Arial" w:hAnsi="Arial" w:cs="Arial"/>
          <w:b/>
        </w:rPr>
        <w:t xml:space="preserve">secretaria de promoção e assistência social.</w:t>
      </w:r>
      <w:r/>
    </w:p>
    <w:p w14:paraId="5964DEDC" w14:textId="77777777">
      <w:pPr>
        <w:pBdr/>
        <w:tabs>
          <w:tab w:val="left" w:leader="none" w:pos="2714"/>
          <w:tab w:val="left" w:leader="none" w:pos="10419"/>
        </w:tabs>
        <w:spacing/>
        <w:ind/>
        <w:rPr>
          <w:rFonts w:ascii="Arial" w:cs="Arial"/>
          <w:b/>
        </w:rPr>
      </w:pPr>
      <w:r>
        <w:rPr>
          <w:rFonts w:ascii="Arial" w:cs="Arial"/>
          <w:b/>
        </w:rPr>
      </w:r>
      <w:r>
        <w:rPr>
          <w:rFonts w:ascii="Arial" w:cs="Arial"/>
          <w:b/>
        </w:rPr>
      </w:r>
    </w:p>
    <w:p w14:paraId="0DC67478" w14:textId="77777777">
      <w:pPr>
        <w:pBdr/>
        <w:spacing/>
        <w:ind/>
        <w:jc w:val="both"/>
        <w:rPr/>
      </w:pPr>
      <w:r>
        <w:rPr>
          <w:rFonts w:ascii="Arial" w:hAnsi="Arial" w:cs="Arial"/>
          <w:b/>
        </w:rPr>
        <w:t xml:space="preserve">Objeto: xxxxxxxxxxxxx</w:t>
      </w:r>
      <w:r/>
    </w:p>
    <w:p w14:paraId="116ECB35" w14:textId="77777777">
      <w:pPr>
        <w:pBdr/>
        <w:spacing/>
        <w:ind/>
        <w:jc w:val="both"/>
        <w:rPr/>
      </w:pPr>
      <w:r>
        <w:rPr>
          <w:rFonts w:ascii="Arial" w:cs="Arial"/>
          <w:b/>
        </w:rPr>
        <w:tab/>
      </w:r>
      <w:r/>
    </w:p>
    <w:p w14:paraId="627658CA" w14:textId="77777777">
      <w:pPr>
        <w:pBdr/>
        <w:spacing/>
        <w:ind/>
        <w:jc w:val="both"/>
        <w:rPr>
          <w:rFonts w:ascii="Arial" w:cs="Arial"/>
          <w:b/>
        </w:rPr>
      </w:pPr>
      <w:r>
        <w:rPr>
          <w:rFonts w:ascii="Arial" w:cs="Arial"/>
          <w:b/>
        </w:rPr>
      </w:r>
      <w:r>
        <w:rPr>
          <w:rFonts w:ascii="Arial" w:cs="Arial"/>
          <w:b/>
        </w:rPr>
      </w:r>
    </w:p>
    <w:tbl>
      <w:tblPr>
        <w:tblInd w:w="-242" w:type="dxa"/>
        <w:tblW w:w="0" w:type="auto"/>
        <w:tblCellMar>
          <w:left w:w="0" w:type="dxa"/>
          <w:right w:w="0" w:type="dxa"/>
        </w:tblCellMar>
        <w:tblBorders/>
        <w:tblLayout w:type="fixed"/>
        <w:tblLook w:val="04A0" w:firstRow="1" w:lastRow="0" w:firstColumn="1" w:lastColumn="0" w:noHBand="0" w:noVBand="1"/>
      </w:tblPr>
      <w:tblGrid>
        <w:gridCol w:w="754"/>
        <w:gridCol w:w="2001"/>
        <w:gridCol w:w="1194"/>
        <w:gridCol w:w="1702"/>
        <w:gridCol w:w="2125"/>
        <w:gridCol w:w="2517"/>
      </w:tblGrid>
      <w:tr>
        <w:trPr>
          <w:trHeight w:val="178"/>
        </w:trPr>
        <w:tc>
          <w:tcPr>
            <w:tcBorders>
              <w:top w:val="single" w:color="000000" w:sz="2" w:space="0"/>
              <w:left w:val="single" w:color="000000" w:sz="2" w:space="0"/>
              <w:bottom w:val="single" w:color="000000" w:sz="2" w:space="0"/>
              <w:right w:val="single" w:color="000000" w:sz="2" w:space="0"/>
            </w:tcBorders>
            <w:tcMar>
              <w:left w:w="108" w:type="dxa"/>
              <w:right w:w="108" w:type="dxa"/>
            </w:tcMar>
            <w:tcW w:w="754" w:type="dxa"/>
            <w:vAlign w:val="center"/>
            <w:textDirection w:val="lrTb"/>
            <w:noWrap w:val="false"/>
          </w:tcPr>
          <w:p w14:paraId="7139217C" w14:textId="77777777">
            <w:pPr>
              <w:pBdr/>
              <w:spacing/>
              <w:ind w:right="-107"/>
              <w:jc w:val="both"/>
              <w:rPr/>
            </w:pPr>
            <w:r>
              <w:rPr>
                <w:rFonts w:ascii="Arial" w:hAnsi="Arial" w:cs="Arial"/>
                <w:color w:val="000000"/>
                <w:sz w:val="17"/>
                <w:szCs w:val="17"/>
              </w:rPr>
              <w:t xml:space="preserve">ITEM</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2001" w:type="dxa"/>
            <w:vAlign w:val="center"/>
            <w:textDirection w:val="lrTb"/>
            <w:noWrap w:val="false"/>
          </w:tcPr>
          <w:p w14:paraId="37C685A9" w14:textId="77777777">
            <w:pPr>
              <w:pBdr/>
              <w:spacing/>
              <w:ind/>
              <w:jc w:val="both"/>
              <w:rPr/>
            </w:pPr>
            <w:r>
              <w:rPr>
                <w:rFonts w:ascii="Arial" w:hAnsi="Arial" w:cs="Arial"/>
                <w:color w:val="000000"/>
                <w:sz w:val="17"/>
                <w:szCs w:val="17"/>
                <w:lang w:eastAsia="zh-CN"/>
              </w:rPr>
              <w:t xml:space="preserve">DESCRIÇÃO</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1194" w:type="dxa"/>
            <w:textDirection w:val="lrTb"/>
            <w:noWrap w:val="false"/>
          </w:tcPr>
          <w:p w14:paraId="560288B9" w14:textId="77777777">
            <w:pPr>
              <w:pBdr/>
              <w:spacing/>
              <w:ind/>
              <w:jc w:val="both"/>
              <w:rPr/>
            </w:pPr>
            <w:r>
              <w:rPr>
                <w:rFonts w:ascii="Arial" w:hAnsi="Arial" w:cs="Arial"/>
                <w:color w:val="000000"/>
                <w:sz w:val="17"/>
                <w:szCs w:val="17"/>
              </w:rPr>
              <w:t xml:space="preserve">UNIDADE</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1702" w:type="dxa"/>
            <w:vAlign w:val="center"/>
            <w:textDirection w:val="lrTb"/>
            <w:noWrap w:val="false"/>
          </w:tcPr>
          <w:p w14:paraId="3A44035D" w14:textId="77777777">
            <w:pPr>
              <w:pBdr/>
              <w:spacing/>
              <w:ind/>
              <w:jc w:val="both"/>
              <w:rPr/>
            </w:pPr>
            <w:r>
              <w:rPr>
                <w:rFonts w:ascii="Arial" w:hAnsi="Arial" w:cs="Arial"/>
                <w:color w:val="000000"/>
                <w:sz w:val="17"/>
                <w:szCs w:val="17"/>
              </w:rPr>
              <w:t xml:space="preserve">QTD ESTIMADA </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2125" w:type="dxa"/>
            <w:textDirection w:val="lrTb"/>
            <w:noWrap w:val="false"/>
          </w:tcPr>
          <w:p w14:paraId="5E41DEAD" w14:textId="77777777">
            <w:pPr>
              <w:pBdr/>
              <w:spacing/>
              <w:ind/>
              <w:jc w:val="both"/>
              <w:rPr/>
            </w:pPr>
            <w:r>
              <w:rPr>
                <w:rFonts w:ascii="Arial" w:hAnsi="Arial" w:cs="Arial"/>
                <w:color w:val="000000"/>
                <w:sz w:val="17"/>
                <w:szCs w:val="17"/>
              </w:rPr>
              <w:t xml:space="preserve">VALOR UNITÁRIO</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2517" w:type="dxa"/>
            <w:textDirection w:val="lrTb"/>
            <w:noWrap w:val="false"/>
          </w:tcPr>
          <w:p w14:paraId="20086F29" w14:textId="77777777">
            <w:pPr>
              <w:pBdr/>
              <w:spacing/>
              <w:ind/>
              <w:jc w:val="both"/>
              <w:rPr/>
            </w:pPr>
            <w:r>
              <w:rPr>
                <w:rFonts w:ascii="Arial" w:hAnsi="Arial" w:cs="Arial"/>
                <w:color w:val="000000"/>
                <w:sz w:val="17"/>
                <w:szCs w:val="17"/>
                <w:lang w:val="en-US" w:eastAsia="zh-CN"/>
              </w:rPr>
              <w:t xml:space="preserve">VALOR TOTAL DO ITEM</w:t>
            </w:r>
            <w:r/>
          </w:p>
        </w:tc>
      </w:tr>
      <w:tr>
        <w:trPr>
          <w:trHeight w:val="123"/>
        </w:trPr>
        <w:tc>
          <w:tcPr>
            <w:tcBorders>
              <w:top w:val="single" w:color="000000" w:sz="2" w:space="0"/>
              <w:left w:val="single" w:color="000000" w:sz="2" w:space="0"/>
              <w:bottom w:val="single" w:color="000000" w:sz="2" w:space="0"/>
              <w:right w:val="single" w:color="000000" w:sz="2" w:space="0"/>
            </w:tcBorders>
            <w:tcMar>
              <w:left w:w="108" w:type="dxa"/>
              <w:right w:w="108" w:type="dxa"/>
            </w:tcMar>
            <w:tcW w:w="754" w:type="dxa"/>
            <w:vAlign w:val="center"/>
            <w:textDirection w:val="lrTb"/>
            <w:noWrap w:val="false"/>
          </w:tcPr>
          <w:p w14:paraId="73137973" w14:textId="77777777">
            <w:pPr>
              <w:pBdr/>
              <w:spacing/>
              <w:ind/>
              <w:jc w:val="center"/>
              <w:rPr/>
            </w:pPr>
            <w:r>
              <w:rPr>
                <w:rFonts w:ascii="Arial" w:hAnsi="Arial" w:cs="Arial"/>
                <w:color w:val="000000"/>
                <w:sz w:val="17"/>
                <w:szCs w:val="17"/>
              </w:rPr>
              <w:t xml:space="preserve">01</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2001" w:type="dxa"/>
            <w:vAlign w:val="bottom"/>
            <w:textDirection w:val="lrTb"/>
            <w:noWrap w:val="false"/>
          </w:tcPr>
          <w:p w14:paraId="4D2731E1" w14:textId="77777777">
            <w:pPr>
              <w:pBdr/>
              <w:spacing/>
              <w:ind/>
              <w:jc w:val="both"/>
              <w:rPr/>
            </w:pPr>
            <w:r>
              <w:rPr>
                <w:rFonts w:ascii="Arial" w:hAnsi="Arial" w:cs="Arial"/>
                <w:color w:val="000000"/>
                <w:sz w:val="17"/>
                <w:szCs w:val="17"/>
              </w:rPr>
              <w:t xml:space="preserve">DESCRIÇÃO </w:t>
            </w: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1194" w:type="dxa"/>
            <w:textDirection w:val="lrTb"/>
            <w:noWrap w:val="false"/>
          </w:tcPr>
          <w:p w14:paraId="73B15D60" w14:textId="77777777">
            <w:pPr>
              <w:pBdr/>
              <w:spacing/>
              <w:ind/>
              <w:jc w:val="center"/>
              <w:rPr>
                <w:rFonts w:ascii="Arial" w:cs="Arial"/>
                <w:color w:val="000000"/>
                <w:sz w:val="18"/>
                <w:szCs w:val="18"/>
                <w:lang w:val="en-US" w:eastAsia="zh-CN"/>
              </w:rPr>
            </w:pPr>
            <w:r>
              <w:rPr>
                <w:rFonts w:ascii="Arial" w:cs="Arial"/>
                <w:color w:val="000000"/>
                <w:sz w:val="18"/>
                <w:szCs w:val="18"/>
                <w:lang w:val="en-US" w:eastAsia="zh-CN"/>
              </w:rPr>
            </w:r>
            <w:r>
              <w:rPr>
                <w:rFonts w:ascii="Arial" w:cs="Arial"/>
                <w:color w:val="000000"/>
                <w:sz w:val="18"/>
                <w:szCs w:val="18"/>
                <w:lang w:val="en-US" w:eastAsia="zh-CN"/>
              </w:rP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1702" w:type="dxa"/>
            <w:vAlign w:val="center"/>
            <w:textDirection w:val="lrTb"/>
            <w:noWrap w:val="false"/>
          </w:tcPr>
          <w:p w14:paraId="76582781" w14:textId="77777777">
            <w:pPr>
              <w:pBdr/>
              <w:spacing/>
              <w:ind/>
              <w:jc w:val="center"/>
              <w:rPr>
                <w:rFonts w:ascii="Arial" w:cs="Arial"/>
                <w:color w:val="000000"/>
                <w:sz w:val="17"/>
                <w:szCs w:val="17"/>
              </w:rPr>
            </w:pPr>
            <w:r>
              <w:rPr>
                <w:rFonts w:ascii="Arial" w:cs="Arial"/>
                <w:color w:val="000000"/>
                <w:sz w:val="17"/>
                <w:szCs w:val="17"/>
              </w:rPr>
            </w:r>
            <w:r>
              <w:rPr>
                <w:rFonts w:ascii="Arial" w:cs="Arial"/>
                <w:color w:val="000000"/>
                <w:sz w:val="17"/>
                <w:szCs w:val="17"/>
              </w:rP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2125" w:type="dxa"/>
            <w:vAlign w:val="center"/>
            <w:textDirection w:val="lrTb"/>
            <w:noWrap w:val="false"/>
          </w:tcPr>
          <w:p w14:paraId="2EF074FA" w14:textId="77777777">
            <w:pPr>
              <w:pBdr/>
              <w:spacing/>
              <w:ind/>
              <w:jc w:val="center"/>
              <w:rPr>
                <w:rFonts w:ascii="Arial" w:cs="Arial"/>
                <w:color w:val="000000"/>
                <w:sz w:val="17"/>
                <w:szCs w:val="17"/>
              </w:rPr>
            </w:pPr>
            <w:r>
              <w:rPr>
                <w:rFonts w:ascii="Arial" w:cs="Arial"/>
                <w:color w:val="000000"/>
                <w:sz w:val="17"/>
                <w:szCs w:val="17"/>
              </w:rPr>
            </w:r>
            <w:r>
              <w:rPr>
                <w:rFonts w:ascii="Arial" w:cs="Arial"/>
                <w:color w:val="000000"/>
                <w:sz w:val="17"/>
                <w:szCs w:val="17"/>
              </w:rPr>
            </w:r>
          </w:p>
        </w:tc>
        <w:tc>
          <w:tcPr>
            <w:tcBorders>
              <w:top w:val="single" w:color="000000" w:sz="2" w:space="0"/>
              <w:left w:val="single" w:color="000000" w:sz="2" w:space="0"/>
              <w:bottom w:val="single" w:color="000000" w:sz="2" w:space="0"/>
              <w:right w:val="single" w:color="000000" w:sz="2" w:space="0"/>
            </w:tcBorders>
            <w:tcMar>
              <w:left w:w="108" w:type="dxa"/>
              <w:right w:w="108" w:type="dxa"/>
            </w:tcMar>
            <w:tcW w:w="2517" w:type="dxa"/>
            <w:vAlign w:val="center"/>
            <w:textDirection w:val="lrTb"/>
            <w:noWrap w:val="false"/>
          </w:tcPr>
          <w:p w14:paraId="59C47110" w14:textId="77777777">
            <w:pPr>
              <w:pBdr/>
              <w:spacing/>
              <w:ind/>
              <w:jc w:val="center"/>
              <w:rPr/>
            </w:pPr>
            <w:r>
              <w:rPr>
                <w:rFonts w:ascii="Arial" w:hAnsi="Arial" w:cs="Arial"/>
                <w:color w:val="000000"/>
                <w:sz w:val="18"/>
                <w:szCs w:val="18"/>
                <w:lang w:val="en-US" w:eastAsia="zh-CN"/>
              </w:rPr>
              <w:t xml:space="preserve"> </w:t>
            </w:r>
            <w:r/>
          </w:p>
        </w:tc>
      </w:tr>
    </w:tbl>
    <w:p w14:paraId="05180FD1" w14:textId="77777777">
      <w:pPr>
        <w:pBdr/>
        <w:tabs>
          <w:tab w:val="left" w:leader="none" w:pos="2714"/>
          <w:tab w:val="left" w:leader="none" w:pos="10419"/>
        </w:tabs>
        <w:spacing/>
        <w:ind/>
        <w:rPr>
          <w:rFonts w:ascii="Arial" w:cs="Arial"/>
          <w:b/>
        </w:rPr>
      </w:pPr>
      <w:r>
        <w:rPr>
          <w:rFonts w:ascii="Arial" w:cs="Arial"/>
          <w:b/>
        </w:rPr>
      </w:r>
      <w:r>
        <w:rPr>
          <w:rFonts w:ascii="Arial" w:cs="Arial"/>
          <w:b/>
        </w:rPr>
      </w:r>
    </w:p>
    <w:p w14:paraId="0723812C" w14:textId="77777777">
      <w:pPr>
        <w:pStyle w:val="925"/>
        <w:pBdr/>
        <w:spacing/>
        <w:ind w:left="0"/>
        <w:jc w:val="both"/>
        <w:rPr>
          <w:lang w:val="pt-BR"/>
        </w:rPr>
      </w:pPr>
      <w:r>
        <w:rPr>
          <w:rFonts w:ascii="Arial" w:hAnsi="Arial" w:cs="Arial"/>
          <w:sz w:val="20"/>
          <w:szCs w:val="20"/>
          <w:lang w:val="pt-BR"/>
        </w:rPr>
        <w:t xml:space="preserve">1 – Nos preços estão inclusos todos os custos básicos diretos, bem como quaisquer outros custos ou despesas que incidam ou venham a incidir direta ou indiretamente que porventura possam recair sobre o fornecimento.</w:t>
      </w:r>
      <w:r>
        <w:rPr>
          <w:lang w:val="pt-BR"/>
        </w:rPr>
      </w:r>
    </w:p>
    <w:p w14:paraId="781F29F5" w14:textId="77777777">
      <w:pPr>
        <w:pStyle w:val="925"/>
        <w:pBdr/>
        <w:spacing/>
        <w:ind w:left="0"/>
        <w:jc w:val="both"/>
        <w:rPr>
          <w:lang w:val="pt-BR"/>
        </w:rPr>
      </w:pPr>
      <w:r>
        <w:rPr>
          <w:rFonts w:ascii="Arial" w:hAnsi="Arial" w:cs="Arial"/>
          <w:sz w:val="20"/>
          <w:szCs w:val="20"/>
          <w:lang w:val="pt-BR"/>
        </w:rPr>
        <w:t xml:space="preserve">2 – Declaramos que temos pleno conhecimento de todas as condições estabelecidas no termo de referência, edital e anexos, bem como do (s) local (is) de entrega do objeto licitado.</w:t>
      </w:r>
      <w:r>
        <w:rPr>
          <w:lang w:val="pt-BR"/>
        </w:rPr>
      </w:r>
    </w:p>
    <w:p w14:paraId="5E9985F3" w14:textId="77777777">
      <w:pPr>
        <w:pStyle w:val="925"/>
        <w:pBdr/>
        <w:spacing/>
        <w:ind w:left="0"/>
        <w:jc w:val="both"/>
        <w:rPr>
          <w:lang w:val="pt-BR"/>
        </w:rPr>
      </w:pPr>
      <w:r>
        <w:rPr>
          <w:rFonts w:ascii="Arial" w:hAnsi="Arial" w:cs="Arial"/>
          <w:sz w:val="20"/>
          <w:szCs w:val="20"/>
          <w:lang w:val="pt-BR"/>
        </w:rPr>
        <w:t xml:space="preserve">3 – Declaramos que assumimos inteira e completa responsabilidade pela perfeita execução da entrega dos produtos/serviços, conforme condições estabelecidas no termo de referência, edital e anexos.</w:t>
      </w:r>
      <w:r>
        <w:rPr>
          <w:lang w:val="pt-BR"/>
        </w:rPr>
      </w:r>
    </w:p>
    <w:p w14:paraId="42B4B57C" w14:textId="77777777">
      <w:pPr>
        <w:pStyle w:val="925"/>
        <w:pBdr/>
        <w:spacing/>
        <w:ind w:left="0"/>
        <w:jc w:val="both"/>
        <w:rPr>
          <w:lang w:val="pt-BR"/>
        </w:rPr>
      </w:pPr>
      <w:r>
        <w:rPr>
          <w:rFonts w:ascii="Arial" w:hAnsi="Arial" w:cs="Arial"/>
          <w:sz w:val="20"/>
          <w:szCs w:val="20"/>
          <w:lang w:val="pt-BR"/>
        </w:rPr>
        <w:t xml:space="preserve">4 – Declaramos que possuímos total capacidade técnica para atendermos ao objeto solicitado.</w:t>
      </w:r>
      <w:r>
        <w:rPr>
          <w:lang w:val="pt-BR"/>
        </w:rPr>
      </w:r>
    </w:p>
    <w:p w14:paraId="29A339B4" w14:textId="77777777">
      <w:pPr>
        <w:pStyle w:val="925"/>
        <w:pBdr/>
        <w:spacing/>
        <w:ind w:left="0"/>
        <w:jc w:val="both"/>
        <w:rPr>
          <w:lang w:val="pt-BR"/>
        </w:rPr>
      </w:pPr>
      <w:r>
        <w:rPr>
          <w:rFonts w:ascii="Arial" w:hAnsi="Arial" w:cs="Arial"/>
          <w:sz w:val="20"/>
          <w:szCs w:val="20"/>
          <w:lang w:val="pt-BR"/>
        </w:rPr>
        <w:t xml:space="preserve">5 – O prazo de validade da proposta é de 120 (cento e vinte) dias corridos, contados da entrega dos envelopes “PROPOSTA DE PREÇOS”.</w:t>
      </w:r>
      <w:r>
        <w:rPr>
          <w:lang w:val="pt-BR"/>
        </w:rPr>
      </w:r>
    </w:p>
    <w:p w14:paraId="75E97831" w14:textId="77777777">
      <w:pPr>
        <w:pStyle w:val="896"/>
        <w:pBdr/>
        <w:spacing/>
        <w:ind/>
        <w:jc w:val="both"/>
        <w:rPr/>
      </w:pPr>
      <w:r>
        <w:rPr>
          <w:rFonts w:ascii="Arial" w:hAnsi="Arial" w:cs="Arial"/>
        </w:rPr>
        <w:t xml:space="preserve">6 – O prazo de realização dos serviços/entrega do produto é</w:t>
      </w:r>
      <w:r>
        <w:rPr>
          <w:rFonts w:ascii="Arial" w:hAnsi="Arial" w:cs="Arial"/>
          <w:b/>
        </w:rPr>
        <w:t xml:space="preserve"> </w:t>
      </w:r>
      <w:r>
        <w:rPr>
          <w:rFonts w:ascii="Arial" w:hAnsi="Arial" w:cs="Arial"/>
        </w:rPr>
        <w:t xml:space="preserve">de acordo com o previsto contida no edital e seus anexos.</w:t>
      </w:r>
      <w:r/>
    </w:p>
    <w:p w14:paraId="18B4ECC9" w14:textId="77777777">
      <w:pPr>
        <w:pBdr/>
        <w:spacing/>
        <w:ind w:hanging="426" w:left="426"/>
        <w:jc w:val="both"/>
        <w:rPr/>
      </w:pPr>
      <w:r>
        <w:rPr>
          <w:rFonts w:ascii="Arial" w:hAnsi="Arial" w:cs="Arial"/>
        </w:rPr>
        <w:t xml:space="preserve">7 – Apresentamos, conforme exigido, nossos dados bancários:</w:t>
      </w:r>
      <w:r/>
    </w:p>
    <w:p w14:paraId="6FEC8D98" w14:textId="77777777">
      <w:pPr>
        <w:pBdr/>
        <w:spacing w:line="360" w:lineRule="auto"/>
        <w:ind w:firstLine="284"/>
        <w:jc w:val="both"/>
        <w:rPr>
          <w:rFonts w:ascii="Arial" w:cs="Arial"/>
        </w:rPr>
      </w:pPr>
      <w:r>
        <w:rPr>
          <w:rFonts w:ascii="Arial" w:cs="Arial"/>
        </w:rPr>
      </w:r>
      <w:r>
        <w:rPr>
          <w:rFonts w:ascii="Arial" w:cs="Arial"/>
        </w:rPr>
      </w:r>
    </w:p>
    <w:p w14:paraId="6100F15C" w14:textId="77777777">
      <w:pPr>
        <w:pBdr/>
        <w:spacing w:line="360" w:lineRule="auto"/>
        <w:ind w:firstLine="284"/>
        <w:jc w:val="both"/>
        <w:rPr/>
      </w:pPr>
      <w:r>
        <w:rPr>
          <w:rFonts w:ascii="Arial" w:hAnsi="Arial" w:cs="Arial"/>
        </w:rPr>
        <w:t xml:space="preserve">NOME DO BANCO ......................... N° ...............</w:t>
      </w:r>
      <w:r/>
    </w:p>
    <w:p w14:paraId="7C383B0C" w14:textId="77777777">
      <w:pPr>
        <w:pBdr/>
        <w:spacing w:line="360" w:lineRule="auto"/>
        <w:ind w:firstLine="284"/>
        <w:jc w:val="both"/>
        <w:rPr/>
      </w:pPr>
      <w:r>
        <w:rPr>
          <w:rFonts w:ascii="Arial" w:hAnsi="Arial" w:cs="Arial"/>
        </w:rPr>
        <w:t xml:space="preserve">NOME DA AGÊNCIA ....................... N° ..............</w:t>
      </w:r>
      <w:r/>
    </w:p>
    <w:p w14:paraId="143E3964" w14:textId="77777777">
      <w:pPr>
        <w:pBdr/>
        <w:spacing w:line="360" w:lineRule="auto"/>
        <w:ind w:firstLine="284"/>
        <w:jc w:val="both"/>
        <w:rPr/>
      </w:pPr>
      <w:r>
        <w:rPr>
          <w:rFonts w:ascii="Arial" w:hAnsi="Arial" w:cs="Arial"/>
        </w:rPr>
        <w:t xml:space="preserve">NÚMERO DA CONTA ..........................................</w:t>
      </w:r>
      <w:r/>
    </w:p>
    <w:p w14:paraId="322C78E3" w14:textId="77777777">
      <w:pPr>
        <w:pBdr/>
        <w:spacing/>
        <w:ind/>
        <w:jc w:val="both"/>
        <w:rPr>
          <w:rFonts w:ascii="Arial" w:cs="Arial"/>
        </w:rPr>
      </w:pPr>
      <w:r>
        <w:rPr>
          <w:rFonts w:ascii="Arial" w:cs="Arial"/>
        </w:rPr>
      </w:r>
      <w:r>
        <w:rPr>
          <w:rFonts w:ascii="Arial" w:cs="Arial"/>
        </w:rPr>
      </w:r>
    </w:p>
    <w:p w14:paraId="6F2661D9" w14:textId="77777777">
      <w:pPr>
        <w:pBdr/>
        <w:spacing/>
        <w:ind/>
        <w:jc w:val="both"/>
        <w:rPr/>
      </w:pPr>
      <w:r>
        <w:rPr>
          <w:rFonts w:ascii="Arial" w:hAnsi="Arial" w:cs="Arial"/>
        </w:rPr>
        <w:t xml:space="preserve">Local/data.................................................................................</w:t>
      </w:r>
      <w:r/>
    </w:p>
    <w:p w14:paraId="2E84A351" w14:textId="77777777">
      <w:pPr>
        <w:pBdr/>
        <w:spacing/>
        <w:ind/>
        <w:jc w:val="center"/>
        <w:rPr>
          <w:rFonts w:ascii="Arial" w:cs="Arial"/>
        </w:rPr>
      </w:pPr>
      <w:r>
        <w:rPr>
          <w:rFonts w:ascii="Arial" w:cs="Arial"/>
        </w:rPr>
      </w:r>
      <w:r>
        <w:rPr>
          <w:rFonts w:ascii="Arial" w:cs="Arial"/>
        </w:rPr>
      </w:r>
    </w:p>
    <w:p w14:paraId="317A1A0B" w14:textId="77777777">
      <w:pPr>
        <w:pBdr/>
        <w:spacing/>
        <w:ind/>
        <w:jc w:val="center"/>
        <w:rPr>
          <w:rFonts w:ascii="Arial" w:cs="Arial"/>
        </w:rPr>
      </w:pPr>
      <w:r>
        <w:rPr>
          <w:rFonts w:ascii="Arial" w:cs="Arial"/>
        </w:rPr>
      </w:r>
      <w:r>
        <w:rPr>
          <w:rFonts w:ascii="Arial" w:cs="Arial"/>
        </w:rPr>
      </w:r>
    </w:p>
    <w:p w14:paraId="3445D3A4" w14:textId="77777777">
      <w:pPr>
        <w:pBdr/>
        <w:spacing/>
        <w:ind/>
        <w:jc w:val="center"/>
        <w:rPr>
          <w:rFonts w:ascii="Arial" w:cs="Arial"/>
        </w:rPr>
      </w:pPr>
      <w:r>
        <w:rPr>
          <w:rFonts w:ascii="Arial" w:cs="Arial"/>
        </w:rPr>
      </w:r>
      <w:r>
        <w:rPr>
          <w:rFonts w:ascii="Arial" w:cs="Arial"/>
        </w:rPr>
      </w:r>
    </w:p>
    <w:p w14:paraId="75D50488" w14:textId="77777777">
      <w:pPr>
        <w:pBdr/>
        <w:spacing/>
        <w:ind/>
        <w:jc w:val="center"/>
        <w:rPr/>
      </w:pPr>
      <w:r>
        <w:rPr>
          <w:rFonts w:ascii="Arial" w:hAnsi="Arial" w:cs="Arial"/>
        </w:rPr>
        <w:t xml:space="preserve">(Assinatura do Representante Legal pela Empresa)</w:t>
      </w:r>
      <w:r/>
    </w:p>
    <w:p w14:paraId="081BB9F7" w14:textId="77777777">
      <w:pPr>
        <w:pBdr/>
        <w:spacing/>
        <w:ind/>
        <w:jc w:val="center"/>
        <w:rPr/>
      </w:pPr>
      <w:r>
        <w:rPr>
          <w:rFonts w:ascii="Arial" w:hAnsi="Arial" w:cs="Arial"/>
        </w:rPr>
        <w:t xml:space="preserve">Nome/Cargo e Carimbo CNPJ</w:t>
      </w:r>
      <w:r/>
    </w:p>
    <w:p w14:paraId="2AB9E337" w14:textId="77777777">
      <w:pPr>
        <w:pBdr/>
        <w:spacing/>
        <w:ind/>
        <w:jc w:val="both"/>
        <w:rPr>
          <w:rFonts w:ascii="Arial" w:cs="Arial"/>
          <w:b/>
        </w:rPr>
      </w:pPr>
      <w:r>
        <w:rPr>
          <w:rFonts w:ascii="Arial" w:cs="Arial"/>
          <w:b/>
        </w:rPr>
      </w:r>
      <w:r>
        <w:rPr>
          <w:rFonts w:ascii="Arial" w:cs="Arial"/>
          <w:b/>
        </w:rPr>
      </w:r>
    </w:p>
    <w:p w14:paraId="384E8E72" w14:textId="77777777">
      <w:pPr>
        <w:pBdr/>
        <w:spacing/>
        <w:ind/>
        <w:jc w:val="both"/>
        <w:rPr>
          <w:rFonts w:ascii="Arial" w:cs="Arial"/>
          <w:b/>
        </w:rPr>
      </w:pPr>
      <w:r>
        <w:rPr>
          <w:rFonts w:ascii="Arial" w:cs="Arial"/>
          <w:b/>
        </w:rPr>
      </w:r>
      <w:r>
        <w:rPr>
          <w:rFonts w:ascii="Arial" w:cs="Arial"/>
          <w:b/>
        </w:rPr>
      </w:r>
    </w:p>
    <w:p w14:paraId="38BB809C" w14:textId="77777777">
      <w:pPr>
        <w:pageBreakBefore w:val="true"/>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pPr>
      <w:r>
        <w:rPr>
          <w:rFonts w:ascii="Arial" w:hAnsi="Arial" w:cs="Arial"/>
          <w:b/>
        </w:rPr>
        <w:t xml:space="preserve">PAPEL TIMBRADO DA EMPRESA LICITANTE</w:t>
      </w:r>
      <w:r/>
    </w:p>
    <w:p w14:paraId="0C41A84F" w14:textId="77777777">
      <w:pPr>
        <w:pBdr/>
        <w:spacing/>
        <w:ind/>
        <w:jc w:val="both"/>
        <w:rPr>
          <w:rFonts w:ascii="Arial" w:cs="Arial"/>
          <w:b/>
          <w:color w:val="000000"/>
        </w:rPr>
      </w:pPr>
      <w:r>
        <w:rPr>
          <w:rFonts w:ascii="Arial" w:cs="Arial"/>
          <w:b/>
          <w:color w:val="000000"/>
        </w:rPr>
      </w:r>
      <w:r>
        <w:rPr>
          <w:rFonts w:ascii="Arial" w:cs="Arial"/>
          <w:b/>
          <w:color w:val="000000"/>
        </w:rPr>
      </w:r>
    </w:p>
    <w:p w14:paraId="4DE284B0" w14:textId="77777777">
      <w:pPr>
        <w:pStyle w:val="873"/>
        <w:pBdr/>
        <w:spacing w:after="0" w:before="0"/>
        <w:ind/>
        <w:rPr>
          <w:lang w:val="pt-BR"/>
        </w:rPr>
      </w:pPr>
      <w:r/>
      <w:bookmarkStart w:id="96" w:name="_Toc21643"/>
      <w:r>
        <w:rPr>
          <w:sz w:val="20"/>
          <w:lang w:val="pt-BR"/>
        </w:rPr>
        <w:t xml:space="preserve">ANEXO V: MODELO CREDENCIAMENTO E COMPROVAÇÕES COMPLEMENTARES ESPECIAIS.</w:t>
      </w:r>
      <w:bookmarkEnd w:id="96"/>
      <w:r/>
      <w:r>
        <w:rPr>
          <w:lang w:val="pt-BR"/>
        </w:rPr>
      </w:r>
    </w:p>
    <w:p w14:paraId="0609314D" w14:textId="77777777">
      <w:pPr>
        <w:pBdr/>
        <w:spacing/>
        <w:ind/>
        <w:jc w:val="both"/>
        <w:rPr>
          <w:rFonts w:ascii="Arial" w:cs="Arial"/>
          <w:b/>
          <w:color w:val="000000"/>
        </w:rPr>
      </w:pPr>
      <w:r>
        <w:rPr>
          <w:rFonts w:ascii="Arial" w:cs="Arial"/>
          <w:b/>
          <w:color w:val="000000"/>
        </w:rPr>
      </w:r>
      <w:r>
        <w:rPr>
          <w:rFonts w:ascii="Arial" w:cs="Arial"/>
          <w:b/>
          <w:color w:val="000000"/>
        </w:rPr>
      </w:r>
    </w:p>
    <w:p w14:paraId="29B516E3" w14:textId="77777777">
      <w:pPr>
        <w:pBdr/>
        <w:spacing/>
        <w:ind/>
        <w:jc w:val="both"/>
        <w:rPr/>
      </w:pPr>
      <w:r>
        <w:rPr>
          <w:rFonts w:ascii="Arial" w:hAnsi="Arial" w:cs="Arial"/>
          <w:b/>
          <w:color w:val="000000"/>
        </w:rPr>
        <w:t xml:space="preserve">À</w:t>
      </w:r>
      <w:r/>
    </w:p>
    <w:p w14:paraId="233BD9FC" w14:textId="77777777">
      <w:pPr>
        <w:pBdr/>
        <w:spacing/>
        <w:ind/>
        <w:jc w:val="both"/>
        <w:rPr/>
      </w:pPr>
      <w:r>
        <w:rPr>
          <w:rFonts w:ascii="Arial" w:hAnsi="Arial" w:cs="Arial"/>
          <w:b/>
          <w:color w:val="000000"/>
        </w:rPr>
        <w:t xml:space="preserve">PREFEITURA MUNICIPAL DE RONDONÓPOLIS-MT.</w:t>
      </w:r>
      <w:r/>
    </w:p>
    <w:p w14:paraId="4A265204" w14:textId="412FCF2B">
      <w:pPr>
        <w:pBdr/>
        <w:spacing/>
        <w:ind/>
        <w:jc w:val="both"/>
        <w:rPr/>
      </w:pPr>
      <w:r>
        <w:rPr>
          <w:rFonts w:ascii="Arial" w:hAnsi="Arial" w:cs="Arial"/>
          <w:b/>
          <w:color w:val="000000"/>
        </w:rPr>
        <w:t xml:space="preserve">REF.: EDITAL DE LICITAÇÃO - MODALIDADE PREGÃO ___/202</w:t>
      </w:r>
      <w:r>
        <w:rPr>
          <w:rFonts w:ascii="Arial" w:hAnsi="Arial" w:cs="Arial"/>
          <w:b/>
          <w:color w:val="000000"/>
        </w:rPr>
        <w:t xml:space="preserve">6</w:t>
      </w:r>
      <w:r>
        <w:rPr>
          <w:rFonts w:ascii="Arial" w:hAnsi="Arial" w:cs="Arial"/>
          <w:b/>
          <w:color w:val="000000"/>
        </w:rPr>
        <w:t xml:space="preserve">.</w:t>
      </w:r>
      <w:r/>
    </w:p>
    <w:p w14:paraId="3B254982" w14:textId="2E70E946">
      <w:pPr>
        <w:pBdr/>
        <w:spacing/>
        <w:ind/>
        <w:jc w:val="both"/>
        <w:rPr/>
      </w:pPr>
      <w:r>
        <w:rPr>
          <w:rFonts w:ascii="Arial" w:hAnsi="Arial" w:cs="Arial"/>
          <w:b/>
          <w:color w:val="000000"/>
        </w:rPr>
        <w:t xml:space="preserve">TIPO MENOR PREÇO / MENOR TAXA APLICADO SOBRE A MÉDIA DOS PREÇOS LEVANTADOS PELA EQUIPE </w:t>
      </w:r>
      <w:r>
        <w:rPr>
          <w:rFonts w:ascii="Arial" w:hAnsi="Arial" w:cs="Arial"/>
          <w:b/>
          <w:color w:val="000000"/>
        </w:rPr>
        <w:t xml:space="preserve">DA </w:t>
      </w:r>
      <w:r>
        <w:rPr>
          <w:rFonts w:ascii="Arial" w:hAnsi="Arial" w:cs="Arial"/>
          <w:b/>
        </w:rPr>
        <w:t xml:space="preserve">SECRETARIA DE PROMOÇÃO E ASSISTÊNCIA SOCIAL.</w:t>
      </w:r>
      <w:r/>
    </w:p>
    <w:p w14:paraId="2081C2D7" w14:textId="77777777">
      <w:pPr>
        <w:pBdr/>
        <w:spacing/>
        <w:ind/>
        <w:jc w:val="both"/>
        <w:rPr>
          <w:rFonts w:ascii="Arial" w:cs="Arial"/>
          <w:b/>
          <w:color w:val="000000"/>
        </w:rPr>
      </w:pPr>
      <w:r>
        <w:rPr>
          <w:rFonts w:ascii="Arial" w:cs="Arial"/>
          <w:b/>
          <w:color w:val="000000"/>
        </w:rPr>
      </w:r>
      <w:r>
        <w:rPr>
          <w:rFonts w:ascii="Arial" w:cs="Arial"/>
          <w:b/>
          <w:color w:val="000000"/>
        </w:rPr>
      </w:r>
    </w:p>
    <w:p w14:paraId="2D1C77F1" w14:textId="77777777">
      <w:pPr>
        <w:pBdr/>
        <w:spacing/>
        <w:ind/>
        <w:jc w:val="both"/>
        <w:rPr/>
      </w:pPr>
      <w:r>
        <w:rPr>
          <w:rFonts w:ascii="Arial" w:hAnsi="Arial" w:cs="Arial"/>
          <w:b/>
          <w:color w:val="000000"/>
        </w:rPr>
        <w:t xml:space="preserve">(Razão Social da Licitante) ____________________, inscrita no CNPJ/MF sob o n.º __________, sediada à_____________________________________________, por intermédio de seu representante legal o(a) S</w:t>
      </w:r>
      <w:r>
        <w:rPr>
          <w:rFonts w:ascii="Arial" w:hAnsi="Arial" w:cs="Arial"/>
          <w:b/>
          <w:color w:val="000000"/>
        </w:rPr>
        <w:t xml:space="preserve">r(a)__________________________, portador(a) da Carteira de Identidade n.º_________________ e do CPF n.º__________________, declara como nosso representante legal na Licitação em referência, podendo rubricar a documentação de Habilitação e das Propostas, ma</w:t>
      </w:r>
      <w:r>
        <w:rPr>
          <w:rFonts w:ascii="Arial" w:hAnsi="Arial" w:cs="Arial"/>
          <w:b/>
          <w:color w:val="000000"/>
        </w:rPr>
        <w:t xml:space="preserve">nifestar, dar lances verbais, prestar todos os esclarecimentos à nossa Proposta, interpor recursos, desistir de prazos e recursos, enfim, praticar todos os atos necessários ao fiel cumprimento do presente Credenciamento.(No caso de indicar representante). </w:t>
      </w:r>
      <w:r/>
    </w:p>
    <w:p w14:paraId="3832171E" w14:textId="77777777">
      <w:pPr>
        <w:pBdr/>
        <w:spacing/>
        <w:ind/>
        <w:jc w:val="both"/>
        <w:rPr>
          <w:rFonts w:ascii="Arial" w:cs="Arial"/>
          <w:b/>
          <w:color w:val="000000"/>
        </w:rPr>
      </w:pPr>
      <w:r>
        <w:rPr>
          <w:rFonts w:ascii="Arial" w:cs="Arial"/>
          <w:b/>
          <w:color w:val="000000"/>
        </w:rPr>
      </w:r>
      <w:r>
        <w:rPr>
          <w:rFonts w:ascii="Arial" w:cs="Arial"/>
          <w:b/>
          <w:color w:val="000000"/>
        </w:rPr>
      </w:r>
    </w:p>
    <w:p w14:paraId="74ADA712" w14:textId="77777777">
      <w:pPr>
        <w:pBdr/>
        <w:spacing/>
        <w:ind/>
        <w:jc w:val="both"/>
        <w:rPr/>
      </w:pPr>
      <w:r>
        <w:rPr>
          <w:rFonts w:ascii="Arial" w:hAnsi="Arial" w:cs="Arial"/>
          <w:b/>
          <w:color w:val="000000"/>
        </w:rPr>
        <w:t xml:space="preserve">13.7.1.1.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cs="Arial"/>
          <w:color w:val="00000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p>
    <w:p w14:paraId="44EF6130" w14:textId="77777777">
      <w:pPr>
        <w:pBdr/>
        <w:spacing/>
        <w:ind/>
        <w:jc w:val="both"/>
        <w:rPr/>
      </w:pPr>
      <w:r>
        <w:rPr>
          <w:rFonts w:ascii="Arial" w:hAnsi="Arial" w:cs="Arial"/>
          <w:b/>
          <w:color w:val="000000"/>
          <w:sz w:val="19"/>
          <w:szCs w:val="19"/>
        </w:rPr>
        <w:t xml:space="preserve">13.7.1.2.</w:t>
      </w:r>
      <w:r>
        <w:rPr>
          <w:rFonts w:ascii="Arial" w:hAnsi="Arial" w:cs="Arial"/>
          <w:color w:val="000000"/>
          <w:sz w:val="19"/>
          <w:szCs w:val="19"/>
        </w:rPr>
        <w:t xml:space="preserve"> Não emprega menor de 18 anos em trabalho noturno, perigoso ou insalubre e não emprega menor de 16 anos, em qualquer trabalho, salvo menor, a partir de 14 anos, na condição de aprendiz, nos termos do </w:t>
      </w:r>
      <w:hyperlink r:id="rId52" w:tooltip="https://www.planalto.gov.br/ccivil_03/constituicao/constituicaocompilado.htm#art7" w:anchor="art7" w:history="1">
        <w:r>
          <w:rPr>
            <w:rFonts w:ascii="Arial" w:hAnsi="Arial" w:cs="Arial"/>
            <w:color w:val="000000"/>
            <w:sz w:val="19"/>
            <w:szCs w:val="19"/>
          </w:rPr>
          <w:t xml:space="preserve">artigo 7°, XXXIII da Constituição</w:t>
        </w:r>
      </w:hyperlink>
      <w:r>
        <w:rPr>
          <w:rFonts w:ascii="Arial" w:hAnsi="Arial" w:cs="Arial"/>
          <w:color w:val="000000"/>
          <w:sz w:val="19"/>
          <w:szCs w:val="19"/>
        </w:rPr>
        <w:t xml:space="preserve"> Federal, </w:t>
      </w:r>
      <w:r>
        <w:rPr>
          <w:rFonts w:ascii="Arial" w:hAnsi="Arial" w:cs="Arial"/>
        </w:rPr>
        <w:t xml:space="preserve">bem como, no </w:t>
      </w:r>
      <w:r>
        <w:rPr>
          <w:rFonts w:ascii="Arial" w:hAnsi="Arial" w:cs="Arial"/>
          <w:color w:val="000000"/>
          <w:sz w:val="19"/>
          <w:szCs w:val="19"/>
        </w:rPr>
        <w:t xml:space="preserve">artigo 68, inciso VI, da Lei nº 14.133/2021;</w:t>
      </w:r>
      <w:r/>
    </w:p>
    <w:p w14:paraId="2E704DD3" w14:textId="77777777">
      <w:pPr>
        <w:pBdr/>
        <w:spacing/>
        <w:ind/>
        <w:jc w:val="both"/>
        <w:rPr/>
      </w:pPr>
      <w:r>
        <w:rPr>
          <w:rFonts w:ascii="Arial" w:hAnsi="Arial" w:cs="Arial"/>
          <w:b/>
          <w:color w:val="000000"/>
        </w:rPr>
        <w:t xml:space="preserve">13.7.1.3.</w:t>
      </w:r>
      <w:r>
        <w:rPr>
          <w:rFonts w:ascii="Arial" w:hAnsi="Arial" w:cs="Arial"/>
          <w:color w:val="000000"/>
        </w:rPr>
        <w:t xml:space="preserve"> Não possui empregados executando trabalho degradante ou forçado, observando o disposto nos </w:t>
      </w:r>
      <w:hyperlink r:id="rId53" w:tooltip="https://www.planalto.gov.br/ccivil_03/constituicao/constituicaocompilado.htm" w:history="1">
        <w:r>
          <w:rPr>
            <w:rFonts w:ascii="Arial" w:hAnsi="Arial" w:cs="Arial"/>
            <w:color w:val="000000"/>
          </w:rPr>
          <w:t xml:space="preserve">incisos III e IV do art. 1º e no inciso III do art. 5º da Constituição Federal</w:t>
        </w:r>
      </w:hyperlink>
      <w:r>
        <w:rPr>
          <w:rStyle w:val="892"/>
          <w:rFonts w:ascii="Arial" w:hAnsi="Arial" w:cs="Arial"/>
          <w:color w:val="000000"/>
          <w:u w:val="none"/>
        </w:rPr>
        <w:t xml:space="preserve">, </w:t>
      </w:r>
      <w:r>
        <w:rPr>
          <w:rFonts w:ascii="Arial" w:hAnsi="Arial" w:cs="Arial"/>
        </w:rPr>
        <w:t xml:space="preserve">bem como no art. 14, inciso VI da Lei nº 14.133/2021.</w:t>
      </w:r>
      <w:r/>
    </w:p>
    <w:p w14:paraId="256653E6" w14:textId="77777777">
      <w:pPr>
        <w:pBdr/>
        <w:spacing/>
        <w:ind/>
        <w:jc w:val="both"/>
        <w:rPr/>
      </w:pPr>
      <w:r>
        <w:rPr>
          <w:rFonts w:ascii="Arial" w:hAnsi="Arial" w:cs="Arial"/>
          <w:b/>
          <w:color w:val="000000"/>
        </w:rPr>
        <w:t xml:space="preserve">13.7.1.4.</w:t>
      </w:r>
      <w:r>
        <w:rPr>
          <w:rFonts w:ascii="Arial" w:hAnsi="Arial" w:cs="Arial"/>
          <w:color w:val="000000"/>
        </w:rPr>
        <w:t xml:space="preserve"> Cumpre as exigências de reserva de cargos para pessoa com deficiência e para reabilitado da Previdência Social, previstas em lei e em outras normas específicas;</w:t>
      </w:r>
      <w:r/>
    </w:p>
    <w:p w14:paraId="61AD5387" w14:textId="77777777">
      <w:pPr>
        <w:pBdr/>
        <w:spacing/>
        <w:ind/>
        <w:jc w:val="both"/>
        <w:rPr/>
      </w:pPr>
      <w:r>
        <w:rPr>
          <w:rFonts w:ascii="Arial" w:hAnsi="Arial" w:cs="Arial"/>
          <w:b/>
          <w:color w:val="000000"/>
        </w:rPr>
        <w:t xml:space="preserve">13.7.1.5.</w:t>
      </w:r>
      <w:r>
        <w:rPr>
          <w:rFonts w:ascii="Arial" w:hAnsi="Arial" w:cs="Arial"/>
          <w:color w:val="000000"/>
        </w:rPr>
        <w:t xml:space="preserve"> N</w:t>
      </w:r>
      <w:r>
        <w:rPr>
          <w:rFonts w:ascii="Arial" w:hAnsi="Arial" w:cs="Arial"/>
        </w:rPr>
        <w:t xml:space="preserve">ão possui em seu quadro de pessoal e societário, servidor público do Pod</w:t>
      </w:r>
      <w:r>
        <w:rPr>
          <w:rFonts w:ascii="Arial" w:hAnsi="Arial" w:cs="Arial"/>
        </w:rPr>
        <w:t xml:space="preserve">er Executivo Estadual exercendo funções de gerência ou administração, conforme art. 1, inciso X da Lei Complementar Estadual nº 04/1990, ou servidor do Órgão/Entidade contratante em qualquer função, nos termos do art. 9º, §1º da Lei Federal nº 14.133/2021;</w:t>
      </w:r>
      <w:r/>
    </w:p>
    <w:p w14:paraId="516A4BFE" w14:textId="77777777">
      <w:pPr>
        <w:pBdr/>
        <w:spacing/>
        <w:ind/>
        <w:jc w:val="both"/>
        <w:rPr/>
      </w:pPr>
      <w:r>
        <w:rPr>
          <w:rFonts w:ascii="Arial" w:hAnsi="Arial" w:cs="Arial"/>
        </w:rPr>
        <w:t xml:space="preserve">13.7.1.6. O licitante enquadrado como microempresa, empresa de pequeno porte ou sociedade cooperativa deverá</w:t>
      </w:r>
      <w:r>
        <w:rPr>
          <w:rFonts w:ascii="Arial" w:hAnsi="Arial" w:cs="Arial"/>
          <w:color w:val="000000"/>
          <w:sz w:val="19"/>
          <w:szCs w:val="19"/>
        </w:rPr>
        <w:t xml:space="preserve"> declarar, que cumpre os requisitos estabelecidos no </w:t>
      </w:r>
      <w:hyperlink r:id="rId54" w:tooltip="https://www.planalto.gov.br/ccivil_03/leis/lcp/lcp123.htm#art3" w:anchor="art3" w:history="1">
        <w:r>
          <w:rPr>
            <w:rFonts w:ascii="Arial" w:hAnsi="Arial" w:cs="Arial"/>
            <w:color w:val="000000"/>
            <w:sz w:val="19"/>
            <w:szCs w:val="19"/>
          </w:rPr>
          <w:t xml:space="preserve">artigo 3° da Lei Complementar nº 123, de 2006</w:t>
        </w:r>
      </w:hyperlink>
      <w:r>
        <w:rPr>
          <w:rFonts w:ascii="Arial" w:hAnsi="Arial" w:cs="Arial"/>
          <w:color w:val="000000"/>
          <w:sz w:val="19"/>
          <w:szCs w:val="19"/>
        </w:rPr>
        <w:t xml:space="preserve">, estando apto a usufruir do tratamento favorecido estabelecido em seus </w:t>
      </w:r>
      <w:hyperlink r:id="rId55" w:tooltip="https://www.planalto.gov.br/ccivil_03/leis/lcp/lcp123.htm#art42" w:anchor="art42" w:history="1">
        <w:r>
          <w:rPr>
            <w:rFonts w:ascii="Arial" w:hAnsi="Arial" w:cs="Arial"/>
            <w:color w:val="000000"/>
            <w:sz w:val="19"/>
            <w:szCs w:val="19"/>
          </w:rPr>
          <w:t xml:space="preserve">arts. 42 a 49</w:t>
        </w:r>
      </w:hyperlink>
      <w:r>
        <w:rPr>
          <w:rFonts w:ascii="Arial" w:hAnsi="Arial" w:cs="Arial"/>
          <w:color w:val="000000"/>
          <w:sz w:val="19"/>
          <w:szCs w:val="19"/>
        </w:rPr>
        <w:t xml:space="preserve">, observado o disposto nos </w:t>
      </w:r>
      <w:hyperlink r:id="rId56" w:tooltip="http://www.planalto.gov.br/ccivil_03/_ato2019-2022/2021/lei/L14133.htm#art4§1" w:anchor="art4§1" w:history="1">
        <w:r>
          <w:rPr>
            <w:rFonts w:ascii="Arial" w:hAnsi="Arial" w:cs="Arial"/>
            <w:color w:val="000000"/>
            <w:sz w:val="19"/>
            <w:szCs w:val="19"/>
          </w:rPr>
          <w:t xml:space="preserve">§§ 1º ao 3º do art. 4º, da Lei n.º 14.133, de 2021;</w:t>
        </w:r>
      </w:hyperlink>
      <w:r/>
      <w:r/>
    </w:p>
    <w:p w14:paraId="75F222F7" w14:textId="77777777">
      <w:pPr>
        <w:pBdr/>
        <w:spacing/>
        <w:ind/>
        <w:jc w:val="both"/>
        <w:rPr/>
      </w:pPr>
      <w:r>
        <w:rPr>
          <w:rFonts w:ascii="Arial" w:hAnsi="Arial" w:cs="Arial"/>
          <w:b/>
          <w:color w:val="000000"/>
        </w:rPr>
        <w:t xml:space="preserve">13.7.1.7.</w:t>
      </w:r>
      <w:r>
        <w:rPr>
          <w:rFonts w:ascii="Arial" w:hAnsi="Arial" w:cs="Arial"/>
          <w:color w:val="000000"/>
        </w:rPr>
        <w:t xml:space="preserve"> O licitante organizado em cooperativa deverá declarar, ainda que, cumpre os requisitos estabelecidos no </w:t>
      </w:r>
      <w:hyperlink r:id="rId57" w:tooltip="http://www.planalto.gov.br/ccivil_03/_ato2019-2022/2021/lei/L14133.htm#art16" w:anchor="art16" w:history="1">
        <w:r>
          <w:rPr>
            <w:rFonts w:ascii="Arial" w:hAnsi="Arial" w:cs="Arial"/>
            <w:color w:val="000000"/>
          </w:rPr>
          <w:t xml:space="preserve">artigo 16 da Lei nº 14.133, de 2021</w:t>
        </w:r>
      </w:hyperlink>
      <w:r>
        <w:rPr>
          <w:rFonts w:ascii="Arial" w:hAnsi="Arial" w:cs="Arial"/>
          <w:color w:val="000000"/>
        </w:rPr>
        <w:t xml:space="preserve">;</w:t>
      </w:r>
      <w:r/>
    </w:p>
    <w:p w14:paraId="653459CF" w14:textId="77777777">
      <w:pPr>
        <w:pBdr/>
        <w:spacing/>
        <w:ind/>
        <w:jc w:val="both"/>
        <w:rPr/>
      </w:pPr>
      <w:r>
        <w:rPr>
          <w:rFonts w:ascii="Arial" w:hAnsi="Arial" w:cs="Arial"/>
          <w:b/>
          <w:color w:val="000000"/>
        </w:rPr>
        <w:t xml:space="preserve">13.7.1.8. </w:t>
      </w:r>
      <w:r>
        <w:rPr>
          <w:rFonts w:ascii="Arial" w:hAnsi="Arial" w:cs="Arial"/>
          <w:color w:val="000000"/>
        </w:rPr>
        <w:t xml:space="preserve">Que não há sanções vigentes que legalmente proíbam a participante de licitar e/ou contratar com o Órgão/Entidade contratante;</w:t>
      </w:r>
      <w:r/>
    </w:p>
    <w:p w14:paraId="2466529C" w14:textId="77777777">
      <w:pPr>
        <w:pBdr/>
        <w:spacing/>
        <w:ind/>
        <w:jc w:val="both"/>
        <w:rPr/>
      </w:pPr>
      <w:r>
        <w:rPr>
          <w:rFonts w:ascii="Arial" w:hAnsi="Arial" w:cs="Arial"/>
          <w:b/>
          <w:color w:val="000000"/>
        </w:rPr>
        <w:t xml:space="preserve">13.7.1.9.</w:t>
      </w:r>
      <w:r>
        <w:rPr>
          <w:rFonts w:ascii="Arial" w:hAnsi="Arial" w:cs="Arial"/>
          <w:color w:val="000000"/>
        </w:rPr>
        <w:t xml:space="preserve"> O declarante </w:t>
      </w:r>
      <w:r>
        <w:rPr>
          <w:rFonts w:ascii="Arial" w:hAnsi="Arial" w:cs="Arial"/>
        </w:rPr>
        <w:t xml:space="preserve">responderá</w:t>
      </w:r>
      <w:r>
        <w:rPr>
          <w:rFonts w:ascii="Arial" w:hAnsi="Arial" w:cs="Arial"/>
          <w:color w:val="000000"/>
        </w:rPr>
        <w:t xml:space="preserve"> pela </w:t>
      </w:r>
      <w:r>
        <w:rPr>
          <w:rFonts w:ascii="Arial" w:hAnsi="Arial" w:cs="Arial"/>
        </w:rPr>
        <w:t xml:space="preserve">veracidade</w:t>
      </w:r>
      <w:r>
        <w:rPr>
          <w:rFonts w:ascii="Arial" w:hAnsi="Arial" w:cs="Arial"/>
          <w:color w:val="000000"/>
        </w:rPr>
        <w:t xml:space="preserve"> das informações prestadas, sujeitando-se às sanções previstas na forma da lei, e neste Edital.</w:t>
      </w:r>
      <w:r/>
    </w:p>
    <w:p w14:paraId="047C008B" w14:textId="77777777">
      <w:pPr>
        <w:pBdr/>
        <w:tabs>
          <w:tab w:val="left" w:leader="none" w:pos="4350"/>
        </w:tabs>
        <w:spacing/>
        <w:ind/>
        <w:jc w:val="both"/>
        <w:rPr>
          <w:rFonts w:ascii="Arial" w:cs="Arial"/>
          <w:color w:val="000000"/>
        </w:rPr>
      </w:pPr>
      <w:r>
        <w:rPr>
          <w:rFonts w:ascii="Arial" w:cs="Arial"/>
          <w:color w:val="000000"/>
        </w:rPr>
      </w:r>
      <w:r>
        <w:rPr>
          <w:rFonts w:ascii="Arial" w:cs="Arial"/>
          <w:color w:val="000000"/>
        </w:rPr>
      </w:r>
    </w:p>
    <w:p w14:paraId="242D8E1E" w14:textId="77777777">
      <w:pPr>
        <w:pBdr/>
        <w:spacing/>
        <w:ind/>
        <w:jc w:val="both"/>
        <w:rPr/>
      </w:pPr>
      <w:r>
        <w:rPr>
          <w:rFonts w:ascii="Arial" w:hAnsi="Arial" w:cs="Arial"/>
          <w:color w:val="000000"/>
        </w:rPr>
        <w:t xml:space="preserve">Por ser verdade assino o presente.</w:t>
      </w:r>
      <w:r/>
    </w:p>
    <w:p w14:paraId="02B1E287" w14:textId="77777777">
      <w:pPr>
        <w:pBdr/>
        <w:spacing/>
        <w:ind/>
        <w:jc w:val="both"/>
        <w:rPr>
          <w:rFonts w:ascii="Arial" w:cs="Arial"/>
          <w:color w:val="000000"/>
        </w:rPr>
      </w:pPr>
      <w:r>
        <w:rPr>
          <w:rFonts w:ascii="Arial" w:cs="Arial"/>
          <w:color w:val="000000"/>
        </w:rPr>
      </w:r>
      <w:r>
        <w:rPr>
          <w:rFonts w:ascii="Arial" w:cs="Arial"/>
          <w:color w:val="000000"/>
        </w:rPr>
      </w:r>
    </w:p>
    <w:p w14:paraId="7D4C0F69" w14:textId="384935EE">
      <w:pPr>
        <w:pBdr/>
        <w:spacing/>
        <w:ind/>
        <w:jc w:val="both"/>
        <w:rPr/>
      </w:pPr>
      <w:r>
        <w:rPr>
          <w:rFonts w:ascii="Arial" w:hAnsi="Arial" w:cs="Arial"/>
          <w:color w:val="000000"/>
        </w:rPr>
        <w:t xml:space="preserve">__________________, _______ de ___________________ de 202</w:t>
      </w:r>
      <w:r>
        <w:rPr>
          <w:rFonts w:ascii="Arial" w:hAnsi="Arial" w:cs="Arial"/>
          <w:color w:val="000000"/>
        </w:rPr>
        <w:t xml:space="preserve">6</w:t>
      </w:r>
      <w:r>
        <w:rPr>
          <w:rFonts w:ascii="Arial" w:hAnsi="Arial" w:cs="Arial"/>
          <w:color w:val="000000"/>
        </w:rPr>
        <w:t xml:space="preserve">.</w:t>
      </w:r>
      <w:r/>
    </w:p>
    <w:p w14:paraId="69F81C17" w14:textId="77777777">
      <w:pPr>
        <w:pBdr/>
        <w:spacing/>
        <w:ind/>
        <w:jc w:val="both"/>
        <w:rPr>
          <w:rFonts w:ascii="Arial" w:cs="Arial"/>
          <w:color w:val="000000"/>
        </w:rPr>
      </w:pPr>
      <w:r>
        <w:rPr>
          <w:rFonts w:ascii="Arial" w:cs="Arial"/>
          <w:color w:val="000000"/>
        </w:rPr>
      </w:r>
      <w:r>
        <w:rPr>
          <w:rFonts w:ascii="Arial" w:cs="Arial"/>
          <w:color w:val="000000"/>
        </w:rPr>
      </w:r>
    </w:p>
    <w:p w14:paraId="6E5A9351" w14:textId="77777777">
      <w:pPr>
        <w:pBdr/>
        <w:spacing/>
        <w:ind/>
        <w:jc w:val="both"/>
        <w:rPr/>
      </w:pPr>
      <w:r>
        <w:rPr>
          <w:rFonts w:ascii="Arial" w:hAnsi="Arial" w:cs="Arial"/>
          <w:b/>
          <w:color w:val="000000"/>
        </w:rPr>
        <w:t xml:space="preserve">________________________________________________</w:t>
      </w:r>
      <w:r/>
    </w:p>
    <w:p w14:paraId="23D27906" w14:textId="77777777">
      <w:pPr>
        <w:pBdr/>
        <w:spacing/>
        <w:ind/>
        <w:jc w:val="both"/>
        <w:rPr/>
      </w:pPr>
      <w:r>
        <w:rPr>
          <w:rFonts w:ascii="Arial" w:hAnsi="Arial" w:cs="Arial"/>
          <w:color w:val="000000"/>
        </w:rPr>
        <w:t xml:space="preserve">Assinatura do Representante Legal</w:t>
      </w:r>
      <w:r/>
    </w:p>
    <w:p w14:paraId="5C79928D" w14:textId="77777777">
      <w:pPr>
        <w:pBdr/>
        <w:spacing w:line="276" w:lineRule="auto"/>
        <w:ind/>
        <w:jc w:val="both"/>
        <w:rPr>
          <w:rFonts w:ascii="Arial" w:cs="Arial"/>
          <w:color w:val="000000"/>
        </w:rPr>
      </w:pPr>
      <w:r>
        <w:rPr>
          <w:rFonts w:ascii="Arial" w:cs="Arial"/>
          <w:color w:val="000000"/>
        </w:rPr>
      </w:r>
      <w:r>
        <w:rPr>
          <w:rFonts w:ascii="Arial" w:cs="Arial"/>
          <w:color w:val="000000"/>
        </w:rPr>
      </w:r>
    </w:p>
    <w:p w14:paraId="3EF80DFB" w14:textId="77777777">
      <w:pPr>
        <w:pageBreakBefore w:val="true"/>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pPr>
      <w:r>
        <w:rPr>
          <w:rFonts w:ascii="Arial" w:hAnsi="Arial" w:cs="Arial"/>
          <w:b/>
        </w:rPr>
        <w:t xml:space="preserve">PAPEL TIMBRADO DA EMPRESA LICITANTE</w:t>
      </w:r>
      <w:r/>
    </w:p>
    <w:p w14:paraId="4D3D1918" w14:textId="77777777">
      <w:pPr>
        <w:pBdr/>
        <w:spacing w:line="276" w:lineRule="auto"/>
        <w:ind/>
        <w:jc w:val="both"/>
        <w:rPr>
          <w:rFonts w:ascii="Arial" w:cs="Arial"/>
          <w:b/>
          <w:u w:val="single"/>
        </w:rPr>
      </w:pPr>
      <w:r>
        <w:rPr>
          <w:rFonts w:ascii="Arial" w:cs="Arial"/>
          <w:b/>
          <w:u w:val="single"/>
        </w:rPr>
      </w:r>
      <w:r>
        <w:rPr>
          <w:rFonts w:ascii="Arial" w:cs="Arial"/>
          <w:b/>
          <w:u w:val="single"/>
        </w:rPr>
      </w:r>
    </w:p>
    <w:p w14:paraId="3BF88F6D" w14:textId="77777777">
      <w:pPr>
        <w:pStyle w:val="873"/>
        <w:pBdr/>
        <w:spacing w:after="0" w:before="0"/>
        <w:ind/>
        <w:rPr>
          <w:lang w:val="pt-BR"/>
        </w:rPr>
      </w:pPr>
      <w:r/>
      <w:bookmarkStart w:id="97" w:name="_Toc10645"/>
      <w:r>
        <w:rPr>
          <w:sz w:val="20"/>
          <w:lang w:val="pt-BR"/>
        </w:rPr>
        <w:t xml:space="preserve">ANEXO VI: FICHA DE ATUALIZAÇÃO CADASTRAL.</w:t>
      </w:r>
      <w:bookmarkEnd w:id="97"/>
      <w:r/>
      <w:r>
        <w:rPr>
          <w:lang w:val="pt-BR"/>
        </w:rPr>
      </w:r>
    </w:p>
    <w:p w14:paraId="49A31D0B" w14:textId="77777777">
      <w:pPr>
        <w:pBdr/>
        <w:spacing w:line="276" w:lineRule="auto"/>
        <w:ind/>
        <w:jc w:val="both"/>
        <w:rPr>
          <w:rFonts w:ascii="Arial" w:cs="Arial"/>
          <w:b/>
          <w:u w:val="single"/>
        </w:rPr>
      </w:pPr>
      <w:r>
        <w:rPr>
          <w:rFonts w:ascii="Arial" w:cs="Arial"/>
          <w:b/>
          <w:u w:val="single"/>
        </w:rPr>
      </w:r>
      <w:r>
        <w:rPr>
          <w:rFonts w:ascii="Arial" w:cs="Arial"/>
          <w:b/>
          <w:u w:val="single"/>
        </w:rPr>
      </w:r>
    </w:p>
    <w:p w14:paraId="119DFDAD" w14:textId="77777777">
      <w:pPr>
        <w:pBdr/>
        <w:spacing w:line="276" w:lineRule="auto"/>
        <w:ind/>
        <w:jc w:val="both"/>
        <w:rPr/>
      </w:pPr>
      <w:r>
        <w:rPr>
          <w:rFonts w:ascii="Arial" w:hAnsi="Arial" w:cs="Arial"/>
          <w:b/>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cs="Arial"/>
          <w:b/>
        </w:rPr>
        <w:t xml:space="preserve"> </w:t>
      </w:r>
      <w:hyperlink r:id="rId58" w:tooltip="mailto:rfpmr2014@hotmail.com" w:history="1">
        <w:r>
          <w:rPr>
            <w:rFonts w:ascii="Arial" w:hAnsi="Arial" w:cs="Arial"/>
            <w:b/>
            <w:color w:val="000000"/>
            <w:u w:val="single"/>
          </w:rPr>
          <w:t xml:space="preserve">rfpmr2014@hotmail.com</w:t>
        </w:r>
      </w:hyperlink>
      <w:r>
        <w:rPr>
          <w:rFonts w:ascii="Arial" w:hAnsi="Arial" w:cs="Arial"/>
          <w:b/>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r/>
    </w:p>
    <w:tbl>
      <w:tblPr>
        <w:tblInd w:w="-114" w:type="dxa"/>
        <w:tblW w:w="0" w:type="auto"/>
        <w:tblCellMar>
          <w:left w:w="0" w:type="dxa"/>
          <w:right w:w="0" w:type="dxa"/>
        </w:tblCellMar>
        <w:tblBorders/>
        <w:tblLayout w:type="fixed"/>
        <w:tblLook w:val="04A0" w:firstRow="1" w:lastRow="0" w:firstColumn="1" w:lastColumn="0" w:noHBand="0" w:noVBand="1"/>
      </w:tblPr>
      <w:tblGrid>
        <w:gridCol w:w="2976"/>
        <w:gridCol w:w="852"/>
        <w:gridCol w:w="870"/>
        <w:gridCol w:w="322"/>
        <w:gridCol w:w="509"/>
        <w:gridCol w:w="744"/>
        <w:gridCol w:w="1210"/>
        <w:gridCol w:w="314"/>
        <w:gridCol w:w="42"/>
        <w:gridCol w:w="2084"/>
      </w:tblGrid>
      <w:tr>
        <w:trPr/>
        <w:tc>
          <w:tcPr>
            <w:gridSpan w:val="10"/>
            <w:tcBorders>
              <w:top w:val="single" w:color="000000" w:sz="4" w:space="0"/>
              <w:left w:val="single" w:color="000000" w:sz="4" w:space="0"/>
              <w:bottom w:val="single" w:color="000000" w:sz="4" w:space="0"/>
              <w:right w:val="single" w:color="000000" w:sz="4" w:space="0"/>
            </w:tcBorders>
            <w:tcMar>
              <w:left w:w="108" w:type="dxa"/>
              <w:right w:w="108" w:type="dxa"/>
            </w:tcMar>
            <w:tcW w:w="9923" w:type="dxa"/>
            <w:textDirection w:val="lrTb"/>
            <w:noWrap w:val="false"/>
          </w:tcPr>
          <w:p w14:paraId="75197EAE" w14:textId="77777777">
            <w:pPr>
              <w:pBdr/>
              <w:spacing w:line="360" w:lineRule="auto"/>
              <w:ind/>
              <w:rPr/>
            </w:pPr>
            <w:r>
              <w:rPr>
                <w:rFonts w:ascii="Arial" w:hAnsi="Arial" w:cs="Arial"/>
              </w:rPr>
              <w:t xml:space="preserve">RAZÃO SOCIAL DA EMPRESA:</w:t>
            </w:r>
            <w:r/>
          </w:p>
        </w:tc>
      </w:tr>
      <w:tr>
        <w:trPr/>
        <w:tc>
          <w:tcPr>
            <w:gridSpan w:val="6"/>
            <w:tcBorders>
              <w:top w:val="single" w:color="000000" w:sz="4" w:space="0"/>
              <w:left w:val="single" w:color="000000" w:sz="4" w:space="0"/>
              <w:bottom w:val="single" w:color="000000" w:sz="4" w:space="0"/>
              <w:right w:val="single" w:color="000000" w:sz="4" w:space="0"/>
            </w:tcBorders>
            <w:tcMar>
              <w:left w:w="108" w:type="dxa"/>
              <w:right w:w="108" w:type="dxa"/>
            </w:tcMar>
            <w:tcW w:w="6273" w:type="dxa"/>
            <w:textDirection w:val="lrTb"/>
            <w:noWrap w:val="false"/>
          </w:tcPr>
          <w:p w14:paraId="0A21E992" w14:textId="77777777">
            <w:pPr>
              <w:pBdr/>
              <w:spacing w:line="360" w:lineRule="auto"/>
              <w:ind/>
              <w:rPr/>
            </w:pPr>
            <w:r>
              <w:rPr>
                <w:rFonts w:ascii="Arial" w:hAnsi="Arial" w:cs="Arial"/>
              </w:rPr>
              <w:t xml:space="preserve">NOME FANTASIA:</w:t>
            </w: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3650" w:type="dxa"/>
            <w:textDirection w:val="lrTb"/>
            <w:noWrap w:val="false"/>
          </w:tcPr>
          <w:p w14:paraId="520A4581" w14:textId="77777777">
            <w:pPr>
              <w:pBdr/>
              <w:spacing w:line="360" w:lineRule="auto"/>
              <w:ind/>
              <w:rPr/>
            </w:pPr>
            <w:r>
              <w:rPr>
                <w:rFonts w:ascii="Arial" w:hAnsi="Arial" w:cs="Arial"/>
              </w:rPr>
              <w:t xml:space="preserve">CNPJ Nº</w:t>
            </w:r>
            <w:r/>
          </w:p>
        </w:tc>
      </w:tr>
      <w:tr>
        <w:trPr/>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4698" w:type="dxa"/>
            <w:textDirection w:val="lrTb"/>
            <w:noWrap w:val="false"/>
          </w:tcPr>
          <w:p w14:paraId="35D05806" w14:textId="77777777">
            <w:pPr>
              <w:pBdr/>
              <w:spacing w:line="360" w:lineRule="auto"/>
              <w:ind/>
              <w:rPr/>
            </w:pPr>
            <w:r>
              <w:rPr>
                <w:rFonts w:ascii="Arial" w:hAnsi="Arial" w:cs="Arial"/>
              </w:rPr>
              <w:t xml:space="preserve">INSCRIÇÃO ESTADUAL:</w:t>
            </w:r>
            <w:r/>
          </w:p>
        </w:tc>
        <w:tc>
          <w:tcPr>
            <w:gridSpan w:val="7"/>
            <w:tcBorders>
              <w:top w:val="single" w:color="000000" w:sz="4" w:space="0"/>
              <w:left w:val="single" w:color="000000" w:sz="4" w:space="0"/>
              <w:bottom w:val="single" w:color="000000" w:sz="4" w:space="0"/>
              <w:right w:val="single" w:color="000000" w:sz="4" w:space="0"/>
            </w:tcBorders>
            <w:tcMar>
              <w:left w:w="108" w:type="dxa"/>
              <w:right w:w="108" w:type="dxa"/>
            </w:tcMar>
            <w:tcW w:w="5225" w:type="dxa"/>
            <w:textDirection w:val="lrTb"/>
            <w:noWrap w:val="false"/>
          </w:tcPr>
          <w:p w14:paraId="14CD9BB3" w14:textId="77777777">
            <w:pPr>
              <w:pBdr/>
              <w:spacing w:line="360" w:lineRule="auto"/>
              <w:ind/>
              <w:rPr/>
            </w:pPr>
            <w:r>
              <w:rPr>
                <w:rFonts w:ascii="Arial" w:hAnsi="Arial" w:cs="Arial"/>
              </w:rPr>
              <w:t xml:space="preserve">INSCRIÇÃO MUNICIPAL:</w:t>
            </w:r>
            <w:r/>
          </w:p>
        </w:tc>
      </w:tr>
      <w:tr>
        <w:trPr/>
        <w:tc>
          <w:tcPr>
            <w:gridSpan w:val="10"/>
            <w:tcBorders>
              <w:top w:val="single" w:color="000000" w:sz="4" w:space="0"/>
              <w:left w:val="single" w:color="000000" w:sz="4" w:space="0"/>
              <w:bottom w:val="single" w:color="000000" w:sz="4" w:space="0"/>
              <w:right w:val="single" w:color="000000" w:sz="4" w:space="0"/>
            </w:tcBorders>
            <w:tcMar>
              <w:left w:w="108" w:type="dxa"/>
              <w:right w:w="108" w:type="dxa"/>
            </w:tcMar>
            <w:tcW w:w="9923" w:type="dxa"/>
            <w:textDirection w:val="lrTb"/>
            <w:noWrap w:val="false"/>
          </w:tcPr>
          <w:p w14:paraId="1CF85F22" w14:textId="77777777">
            <w:pPr>
              <w:pBdr/>
              <w:spacing w:line="360" w:lineRule="auto"/>
              <w:ind/>
              <w:rPr/>
            </w:pPr>
            <w:r>
              <w:rPr>
                <w:rFonts w:ascii="Arial" w:hAnsi="Arial" w:cs="Arial"/>
              </w:rPr>
              <w:t xml:space="preserve">ENQUADRAMENTO DA EMPRESA: ME(  )  EPP(  ) NENHUMA. OPTANTE DO SIMPLES: SIM(  ) NÃO(  )</w:t>
            </w:r>
            <w:r/>
          </w:p>
        </w:tc>
      </w:tr>
      <w:tr>
        <w:trPr/>
        <w:tc>
          <w:tcPr>
            <w:gridSpan w:val="10"/>
            <w:tcBorders>
              <w:top w:val="single" w:color="000000" w:sz="4" w:space="0"/>
              <w:left w:val="single" w:color="000000" w:sz="4" w:space="0"/>
              <w:bottom w:val="single" w:color="000000" w:sz="4" w:space="0"/>
              <w:right w:val="single" w:color="000000" w:sz="4" w:space="0"/>
            </w:tcBorders>
            <w:tcMar>
              <w:left w:w="108" w:type="dxa"/>
              <w:right w:w="108" w:type="dxa"/>
            </w:tcMar>
            <w:tcW w:w="9923" w:type="dxa"/>
            <w:textDirection w:val="lrTb"/>
            <w:noWrap w:val="false"/>
          </w:tcPr>
          <w:p w14:paraId="12F38C4D" w14:textId="77777777">
            <w:pPr>
              <w:pBdr/>
              <w:spacing w:line="360" w:lineRule="auto"/>
              <w:ind/>
              <w:rPr/>
            </w:pPr>
            <w:r>
              <w:rPr>
                <w:rFonts w:ascii="Arial" w:hAnsi="Arial" w:cs="Arial"/>
              </w:rPr>
              <w:t xml:space="preserve">ENDEREÇO:</w:t>
            </w:r>
            <w:r/>
          </w:p>
        </w:tc>
      </w:tr>
      <w:tr>
        <w:trPr/>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5020" w:type="dxa"/>
            <w:textDirection w:val="lrTb"/>
            <w:noWrap w:val="false"/>
          </w:tcPr>
          <w:p w14:paraId="33663639" w14:textId="77777777">
            <w:pPr>
              <w:pBdr/>
              <w:spacing w:line="360" w:lineRule="auto"/>
              <w:ind/>
              <w:rPr/>
            </w:pPr>
            <w:r>
              <w:rPr>
                <w:rFonts w:ascii="Arial" w:hAnsi="Arial" w:cs="Arial"/>
              </w:rPr>
              <w:t xml:space="preserve">BAIRRO:</w:t>
            </w:r>
            <w:r/>
          </w:p>
        </w:tc>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2463" w:type="dxa"/>
            <w:textDirection w:val="lrTb"/>
            <w:noWrap w:val="false"/>
          </w:tcPr>
          <w:p w14:paraId="733AE5C5" w14:textId="77777777">
            <w:pPr>
              <w:pBdr/>
              <w:spacing w:line="360" w:lineRule="auto"/>
              <w:ind/>
              <w:rPr/>
            </w:pPr>
            <w:r>
              <w:rPr>
                <w:rFonts w:ascii="Arial" w:hAnsi="Arial" w:cs="Arial"/>
              </w:rPr>
              <w:t xml:space="preserve">FONE:</w:t>
            </w:r>
            <w:r/>
          </w:p>
        </w:tc>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2440" w:type="dxa"/>
            <w:textDirection w:val="lrTb"/>
            <w:noWrap w:val="false"/>
          </w:tcPr>
          <w:p w14:paraId="358DB831" w14:textId="77777777">
            <w:pPr>
              <w:pBdr/>
              <w:spacing w:line="360" w:lineRule="auto"/>
              <w:ind/>
              <w:rPr/>
            </w:pPr>
            <w:r>
              <w:rPr>
                <w:rFonts w:ascii="Arial" w:hAnsi="Arial" w:cs="Arial"/>
              </w:rPr>
              <w:t xml:space="preserve">FAX:</w:t>
            </w:r>
            <w:r/>
          </w:p>
        </w:tc>
      </w:tr>
      <w:tr>
        <w:trPr/>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5020" w:type="dxa"/>
            <w:textDirection w:val="lrTb"/>
            <w:noWrap w:val="false"/>
          </w:tcPr>
          <w:p w14:paraId="67431A36" w14:textId="77777777">
            <w:pPr>
              <w:pBdr/>
              <w:spacing w:line="360" w:lineRule="auto"/>
              <w:ind/>
              <w:rPr/>
            </w:pPr>
            <w:r>
              <w:rPr>
                <w:rFonts w:ascii="Arial" w:hAnsi="Arial" w:cs="Arial"/>
              </w:rPr>
              <w:t xml:space="preserve">MUNICÍPIO:</w:t>
            </w:r>
            <w:r/>
          </w:p>
        </w:tc>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2463" w:type="dxa"/>
            <w:textDirection w:val="lrTb"/>
            <w:noWrap w:val="false"/>
          </w:tcPr>
          <w:p w14:paraId="14517D16" w14:textId="77777777">
            <w:pPr>
              <w:pBdr/>
              <w:spacing w:line="360" w:lineRule="auto"/>
              <w:ind/>
              <w:rPr/>
            </w:pPr>
            <w:r>
              <w:rPr>
                <w:rFonts w:ascii="Arial" w:hAnsi="Arial" w:cs="Arial"/>
              </w:rPr>
              <w:t xml:space="preserve">U.F.</w:t>
            </w:r>
            <w:r/>
          </w:p>
        </w:tc>
        <w:tc>
          <w:tcPr>
            <w:gridSpan w:val="3"/>
            <w:tcBorders>
              <w:top w:val="single" w:color="000000" w:sz="4" w:space="0"/>
              <w:left w:val="single" w:color="000000" w:sz="4" w:space="0"/>
              <w:bottom w:val="single" w:color="000000" w:sz="4" w:space="0"/>
              <w:right w:val="single" w:color="000000" w:sz="4" w:space="0"/>
            </w:tcBorders>
            <w:tcMar>
              <w:left w:w="108" w:type="dxa"/>
              <w:right w:w="108" w:type="dxa"/>
            </w:tcMar>
            <w:tcW w:w="2440" w:type="dxa"/>
            <w:textDirection w:val="lrTb"/>
            <w:noWrap w:val="false"/>
          </w:tcPr>
          <w:p w14:paraId="153864F3" w14:textId="77777777">
            <w:pPr>
              <w:pBdr/>
              <w:spacing w:line="360" w:lineRule="auto"/>
              <w:ind/>
              <w:rPr/>
            </w:pPr>
            <w:r>
              <w:rPr>
                <w:rFonts w:ascii="Arial" w:hAnsi="Arial" w:cs="Arial"/>
              </w:rPr>
              <w:t xml:space="preserve">CEP:</w:t>
            </w:r>
            <w:r/>
          </w:p>
        </w:tc>
      </w:tr>
      <w:tr>
        <w:trPr/>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5020" w:type="dxa"/>
            <w:textDirection w:val="lrTb"/>
            <w:noWrap w:val="false"/>
          </w:tcPr>
          <w:p w14:paraId="2ED9BA3C" w14:textId="77777777">
            <w:pPr>
              <w:pBdr/>
              <w:spacing w:line="360" w:lineRule="auto"/>
              <w:ind/>
              <w:rPr/>
            </w:pPr>
            <w:r>
              <w:rPr>
                <w:rFonts w:ascii="Arial" w:hAnsi="Arial" w:cs="Arial"/>
              </w:rPr>
              <w:t xml:space="preserve">NOME DO RESPONSÁVEL PARA CONTATO:</w:t>
            </w:r>
            <w:r/>
          </w:p>
        </w:tc>
        <w:tc>
          <w:tcPr>
            <w:gridSpan w:val="6"/>
            <w:tcBorders>
              <w:top w:val="single" w:color="000000" w:sz="4" w:space="0"/>
              <w:left w:val="single" w:color="000000" w:sz="4" w:space="0"/>
              <w:bottom w:val="single" w:color="000000" w:sz="4" w:space="0"/>
              <w:right w:val="single" w:color="000000" w:sz="4" w:space="0"/>
            </w:tcBorders>
            <w:tcMar>
              <w:left w:w="108" w:type="dxa"/>
              <w:right w:w="108" w:type="dxa"/>
            </w:tcMar>
            <w:tcW w:w="4903" w:type="dxa"/>
            <w:textDirection w:val="lrTb"/>
            <w:noWrap w:val="false"/>
          </w:tcPr>
          <w:p w14:paraId="71CA4C69" w14:textId="77777777">
            <w:pPr>
              <w:pBdr/>
              <w:spacing w:line="360" w:lineRule="auto"/>
              <w:ind/>
              <w:rPr/>
            </w:pPr>
            <w:r>
              <w:rPr>
                <w:rFonts w:ascii="Arial" w:hAnsi="Arial" w:cs="Arial"/>
              </w:rPr>
              <w:t xml:space="preserve">CARGO OU FUNÇÃO NA EMPRESA:</w:t>
            </w:r>
            <w:r/>
          </w:p>
        </w:tc>
      </w:tr>
      <w:tr>
        <w:trPr/>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5020" w:type="dxa"/>
            <w:textDirection w:val="lrTb"/>
            <w:noWrap w:val="false"/>
          </w:tcPr>
          <w:p w14:paraId="1E168380" w14:textId="77777777">
            <w:pPr>
              <w:pBdr/>
              <w:spacing w:line="360" w:lineRule="auto"/>
              <w:ind/>
              <w:rPr>
                <w:rFonts w:ascii="Arial" w:cs="Arial"/>
              </w:rPr>
            </w:pPr>
            <w:r>
              <w:rPr>
                <w:rFonts w:ascii="Arial" w:cs="Arial"/>
              </w:rPr>
            </w:r>
            <w:r>
              <w:rPr>
                <w:rFonts w:ascii="Arial" w:cs="Arial"/>
              </w:rPr>
            </w:r>
          </w:p>
        </w:tc>
        <w:tc>
          <w:tcPr>
            <w:gridSpan w:val="6"/>
            <w:tcBorders>
              <w:top w:val="single" w:color="000000" w:sz="4" w:space="0"/>
              <w:left w:val="single" w:color="000000" w:sz="4" w:space="0"/>
              <w:bottom w:val="single" w:color="000000" w:sz="4" w:space="0"/>
              <w:right w:val="single" w:color="000000" w:sz="4" w:space="0"/>
            </w:tcBorders>
            <w:tcMar>
              <w:left w:w="108" w:type="dxa"/>
              <w:right w:w="108" w:type="dxa"/>
            </w:tcMar>
            <w:tcW w:w="4903" w:type="dxa"/>
            <w:textDirection w:val="lrTb"/>
            <w:noWrap w:val="false"/>
          </w:tcPr>
          <w:p w14:paraId="60BF74C7" w14:textId="77777777">
            <w:pPr>
              <w:pBdr/>
              <w:spacing w:line="360" w:lineRule="auto"/>
              <w:ind/>
              <w:rPr>
                <w:rFonts w:ascii="Arial" w:cs="Arial"/>
              </w:rPr>
            </w:pPr>
            <w:r>
              <w:rPr>
                <w:rFonts w:ascii="Arial" w:cs="Arial"/>
              </w:rPr>
            </w:r>
            <w:r>
              <w:rPr>
                <w:rFonts w:ascii="Arial" w:cs="Arial"/>
              </w:rPr>
            </w:r>
          </w:p>
        </w:tc>
      </w:tr>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2976" w:type="dxa"/>
            <w:textDirection w:val="lrTb"/>
            <w:noWrap w:val="false"/>
          </w:tcPr>
          <w:p w14:paraId="2D99F14A" w14:textId="77777777">
            <w:pPr>
              <w:pBdr/>
              <w:spacing w:line="360" w:lineRule="auto"/>
              <w:ind/>
              <w:rPr/>
            </w:pPr>
            <w:r>
              <w:rPr>
                <w:rFonts w:ascii="Arial" w:hAnsi="Arial" w:cs="Arial"/>
              </w:rPr>
              <w:t xml:space="preserve">TELEFONE:</w:t>
            </w: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2553" w:type="dxa"/>
            <w:textDirection w:val="lrTb"/>
            <w:noWrap w:val="false"/>
          </w:tcPr>
          <w:p w14:paraId="05CA5D22" w14:textId="77777777">
            <w:pPr>
              <w:pBdr/>
              <w:spacing w:line="360" w:lineRule="auto"/>
              <w:ind/>
              <w:rPr/>
            </w:pPr>
            <w:r>
              <w:rPr>
                <w:rFonts w:ascii="Arial" w:hAnsi="Arial" w:cs="Arial"/>
              </w:rPr>
              <w:t xml:space="preserve">CELULAR:</w:t>
            </w:r>
            <w:r/>
          </w:p>
        </w:tc>
        <w:tc>
          <w:tcPr>
            <w:gridSpan w:val="5"/>
            <w:tcBorders>
              <w:top w:val="single" w:color="000000" w:sz="4" w:space="0"/>
              <w:left w:val="single" w:color="000000" w:sz="4" w:space="0"/>
              <w:bottom w:val="single" w:color="000000" w:sz="4" w:space="0"/>
              <w:right w:val="single" w:color="000000" w:sz="4" w:space="0"/>
            </w:tcBorders>
            <w:tcMar>
              <w:left w:w="108" w:type="dxa"/>
              <w:right w:w="108" w:type="dxa"/>
            </w:tcMar>
            <w:tcW w:w="4394" w:type="dxa"/>
            <w:textDirection w:val="lrTb"/>
            <w:noWrap w:val="false"/>
          </w:tcPr>
          <w:p w14:paraId="3F638C23" w14:textId="77777777">
            <w:pPr>
              <w:pBdr/>
              <w:spacing w:line="360" w:lineRule="auto"/>
              <w:ind/>
              <w:rPr/>
            </w:pPr>
            <w:r>
              <w:rPr>
                <w:rFonts w:ascii="Arial" w:hAnsi="Arial" w:cs="Arial"/>
              </w:rPr>
              <w:t xml:space="preserve">E-MAIL:</w:t>
            </w:r>
            <w:r/>
          </w:p>
        </w:tc>
      </w:tr>
      <w:tr>
        <w:trPr/>
        <w:tc>
          <w:tcPr>
            <w:tcBorders>
              <w:top w:val="single" w:color="000000" w:sz="4" w:space="0"/>
              <w:left w:val="single" w:color="000000" w:sz="4" w:space="0"/>
              <w:bottom w:val="single" w:color="000000" w:sz="4" w:space="0"/>
              <w:right w:val="single" w:color="000000" w:sz="4" w:space="0"/>
            </w:tcBorders>
            <w:tcMar>
              <w:left w:w="108" w:type="dxa"/>
              <w:right w:w="108" w:type="dxa"/>
            </w:tcMar>
            <w:tcW w:w="2976" w:type="dxa"/>
            <w:textDirection w:val="lrTb"/>
            <w:noWrap w:val="false"/>
          </w:tcPr>
          <w:p w14:paraId="5628F002" w14:textId="77777777">
            <w:pPr>
              <w:pBdr/>
              <w:spacing w:line="360" w:lineRule="auto"/>
              <w:ind/>
              <w:rPr>
                <w:rFonts w:ascii="Arial" w:cs="Arial"/>
              </w:rPr>
            </w:pPr>
            <w:r>
              <w:rPr>
                <w:rFonts w:ascii="Arial" w:cs="Arial"/>
              </w:rPr>
            </w:r>
            <w:r>
              <w:rPr>
                <w:rFonts w:ascii="Arial" w:cs="Arial"/>
              </w:rP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2553" w:type="dxa"/>
            <w:textDirection w:val="lrTb"/>
            <w:noWrap w:val="false"/>
          </w:tcPr>
          <w:p w14:paraId="7B8C6C37" w14:textId="77777777">
            <w:pPr>
              <w:pBdr/>
              <w:spacing w:line="360" w:lineRule="auto"/>
              <w:ind/>
              <w:rPr>
                <w:rFonts w:ascii="Arial" w:cs="Arial"/>
              </w:rPr>
            </w:pPr>
            <w:r>
              <w:rPr>
                <w:rFonts w:ascii="Arial" w:cs="Arial"/>
              </w:rPr>
            </w:r>
            <w:r>
              <w:rPr>
                <w:rFonts w:ascii="Arial" w:cs="Arial"/>
              </w:rPr>
            </w:r>
          </w:p>
        </w:tc>
        <w:tc>
          <w:tcPr>
            <w:gridSpan w:val="5"/>
            <w:tcBorders>
              <w:top w:val="single" w:color="000000" w:sz="4" w:space="0"/>
              <w:left w:val="single" w:color="000000" w:sz="4" w:space="0"/>
              <w:bottom w:val="single" w:color="000000" w:sz="4" w:space="0"/>
              <w:right w:val="single" w:color="000000" w:sz="4" w:space="0"/>
            </w:tcBorders>
            <w:tcMar>
              <w:left w:w="108" w:type="dxa"/>
              <w:right w:w="108" w:type="dxa"/>
            </w:tcMar>
            <w:tcW w:w="4394" w:type="dxa"/>
            <w:textDirection w:val="lrTb"/>
            <w:noWrap w:val="false"/>
          </w:tcPr>
          <w:p w14:paraId="552084F9" w14:textId="77777777">
            <w:pPr>
              <w:pBdr/>
              <w:spacing w:line="360" w:lineRule="auto"/>
              <w:ind/>
              <w:rPr>
                <w:rFonts w:ascii="Arial" w:cs="Arial"/>
              </w:rPr>
            </w:pPr>
            <w:r>
              <w:rPr>
                <w:rFonts w:ascii="Arial" w:cs="Arial"/>
              </w:rPr>
            </w:r>
            <w:r>
              <w:rPr>
                <w:rFonts w:ascii="Arial" w:cs="Arial"/>
              </w:rPr>
            </w:r>
          </w:p>
        </w:tc>
      </w:tr>
      <w:tr>
        <w:trPr/>
        <w:tc>
          <w:tcPr>
            <w:gridSpan w:val="5"/>
            <w:tcBorders>
              <w:top w:val="single" w:color="000000" w:sz="4" w:space="0"/>
              <w:left w:val="single" w:color="000000" w:sz="4" w:space="0"/>
              <w:bottom w:val="single" w:color="000000" w:sz="4" w:space="0"/>
              <w:right w:val="single" w:color="000000" w:sz="4" w:space="0"/>
            </w:tcBorders>
            <w:tcMar>
              <w:left w:w="108" w:type="dxa"/>
              <w:right w:w="108" w:type="dxa"/>
            </w:tcMar>
            <w:tcW w:w="5529" w:type="dxa"/>
            <w:textDirection w:val="lrTb"/>
            <w:noWrap w:val="false"/>
          </w:tcPr>
          <w:p w14:paraId="42389EE7" w14:textId="77777777">
            <w:pPr>
              <w:pBdr/>
              <w:spacing w:line="360" w:lineRule="auto"/>
              <w:ind/>
              <w:rPr/>
            </w:pPr>
            <w:r>
              <w:rPr>
                <w:rFonts w:ascii="Arial" w:hAnsi="Arial" w:cs="Arial"/>
              </w:rPr>
              <w:t xml:space="preserve">SÓCIO(S) NOME(S): </w:t>
            </w: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2310" w:type="dxa"/>
            <w:textDirection w:val="lrTb"/>
            <w:noWrap w:val="false"/>
          </w:tcPr>
          <w:p w14:paraId="1134DD9C" w14:textId="77777777">
            <w:pPr>
              <w:pBdr/>
              <w:spacing w:line="360" w:lineRule="auto"/>
              <w:ind/>
              <w:rPr/>
            </w:pPr>
            <w:r>
              <w:rPr>
                <w:rFonts w:ascii="Arial" w:hAnsi="Arial" w:cs="Arial"/>
              </w:rPr>
              <w:t xml:space="preserve">CPF Nº:</w:t>
            </w:r>
            <w:r/>
          </w:p>
        </w:tc>
        <w:tc>
          <w:tcPr>
            <w:tcBorders>
              <w:top w:val="single" w:color="000000" w:sz="4" w:space="0"/>
              <w:left w:val="single" w:color="000000" w:sz="4" w:space="0"/>
              <w:bottom w:val="single" w:color="000000" w:sz="4" w:space="0"/>
              <w:right w:val="single" w:color="000000" w:sz="4" w:space="0"/>
            </w:tcBorders>
            <w:tcMar>
              <w:left w:w="108" w:type="dxa"/>
              <w:right w:w="108" w:type="dxa"/>
            </w:tcMar>
            <w:tcW w:w="2084" w:type="dxa"/>
            <w:textDirection w:val="lrTb"/>
            <w:noWrap w:val="false"/>
          </w:tcPr>
          <w:p w14:paraId="34266D68" w14:textId="77777777">
            <w:pPr>
              <w:pBdr/>
              <w:spacing w:line="360" w:lineRule="auto"/>
              <w:ind/>
              <w:rPr/>
            </w:pPr>
            <w:r>
              <w:rPr>
                <w:rFonts w:ascii="Arial" w:hAnsi="Arial" w:cs="Arial"/>
              </w:rPr>
              <w:t xml:space="preserve">NACIONALIDADE:</w:t>
            </w:r>
            <w:r/>
          </w:p>
        </w:tc>
      </w:tr>
      <w:tr>
        <w:trPr/>
        <w:tc>
          <w:tcPr>
            <w:gridSpan w:val="5"/>
            <w:tcBorders>
              <w:top w:val="single" w:color="000000" w:sz="4" w:space="0"/>
              <w:left w:val="single" w:color="000000" w:sz="4" w:space="0"/>
              <w:bottom w:val="single" w:color="000000" w:sz="4" w:space="0"/>
              <w:right w:val="single" w:color="000000" w:sz="4" w:space="0"/>
            </w:tcBorders>
            <w:tcMar>
              <w:left w:w="108" w:type="dxa"/>
              <w:right w:w="108" w:type="dxa"/>
            </w:tcMar>
            <w:tcW w:w="5529" w:type="dxa"/>
            <w:textDirection w:val="lrTb"/>
            <w:noWrap w:val="false"/>
          </w:tcPr>
          <w:p w14:paraId="51C27FFC" w14:textId="77777777">
            <w:pPr>
              <w:pBdr/>
              <w:spacing w:line="360" w:lineRule="auto"/>
              <w:ind/>
              <w:rPr>
                <w:rFonts w:ascii="Arial" w:cs="Arial"/>
              </w:rPr>
            </w:pPr>
            <w:r>
              <w:rPr>
                <w:rFonts w:ascii="Arial" w:cs="Arial"/>
              </w:rPr>
            </w:r>
            <w:r>
              <w:rPr>
                <w:rFonts w:ascii="Arial" w:cs="Arial"/>
              </w:rP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2310" w:type="dxa"/>
            <w:textDirection w:val="lrTb"/>
            <w:noWrap w:val="false"/>
          </w:tcPr>
          <w:p w14:paraId="2DB4B958" w14:textId="77777777">
            <w:pPr>
              <w:pBdr/>
              <w:spacing w:line="360" w:lineRule="auto"/>
              <w:ind/>
              <w:rPr>
                <w:rFonts w:ascii="Arial" w:cs="Arial"/>
              </w:rPr>
            </w:pPr>
            <w:r>
              <w:rPr>
                <w:rFonts w:ascii="Arial" w:cs="Arial"/>
              </w:rPr>
            </w:r>
            <w:r>
              <w:rPr>
                <w:rFonts w:ascii="Arial" w:cs="Arial"/>
              </w:rPr>
            </w:r>
          </w:p>
        </w:tc>
        <w:tc>
          <w:tcPr>
            <w:tcBorders>
              <w:top w:val="single" w:color="000000" w:sz="4" w:space="0"/>
              <w:left w:val="single" w:color="000000" w:sz="4" w:space="0"/>
              <w:bottom w:val="single" w:color="000000" w:sz="4" w:space="0"/>
              <w:right w:val="single" w:color="000000" w:sz="4" w:space="0"/>
            </w:tcBorders>
            <w:tcMar>
              <w:left w:w="108" w:type="dxa"/>
              <w:right w:w="108" w:type="dxa"/>
            </w:tcMar>
            <w:tcW w:w="2084" w:type="dxa"/>
            <w:textDirection w:val="lrTb"/>
            <w:noWrap w:val="false"/>
          </w:tcPr>
          <w:p w14:paraId="093733CC" w14:textId="77777777">
            <w:pPr>
              <w:pBdr/>
              <w:spacing w:line="360" w:lineRule="auto"/>
              <w:ind/>
              <w:rPr>
                <w:rFonts w:ascii="Arial" w:cs="Arial"/>
              </w:rPr>
            </w:pPr>
            <w:r>
              <w:rPr>
                <w:rFonts w:ascii="Arial" w:cs="Arial"/>
              </w:rPr>
            </w:r>
            <w:r>
              <w:rPr>
                <w:rFonts w:ascii="Arial" w:cs="Arial"/>
              </w:rPr>
            </w:r>
          </w:p>
        </w:tc>
      </w:tr>
      <w:tr>
        <w:trPr/>
        <w:tc>
          <w:tcPr>
            <w:gridSpan w:val="5"/>
            <w:tcBorders>
              <w:top w:val="single" w:color="000000" w:sz="4" w:space="0"/>
              <w:left w:val="single" w:color="000000" w:sz="4" w:space="0"/>
              <w:bottom w:val="single" w:color="000000" w:sz="4" w:space="0"/>
              <w:right w:val="single" w:color="000000" w:sz="4" w:space="0"/>
            </w:tcBorders>
            <w:tcMar>
              <w:left w:w="108" w:type="dxa"/>
              <w:right w:w="108" w:type="dxa"/>
            </w:tcMar>
            <w:tcW w:w="5529" w:type="dxa"/>
            <w:textDirection w:val="lrTb"/>
            <w:noWrap w:val="false"/>
          </w:tcPr>
          <w:p w14:paraId="7095E279" w14:textId="77777777">
            <w:pPr>
              <w:pBdr/>
              <w:spacing w:line="360" w:lineRule="auto"/>
              <w:ind/>
              <w:rPr>
                <w:rFonts w:ascii="Arial" w:cs="Arial"/>
              </w:rPr>
            </w:pPr>
            <w:r>
              <w:rPr>
                <w:rFonts w:ascii="Arial" w:cs="Arial"/>
              </w:rPr>
            </w:r>
            <w:r>
              <w:rPr>
                <w:rFonts w:ascii="Arial" w:cs="Arial"/>
              </w:rP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2310" w:type="dxa"/>
            <w:textDirection w:val="lrTb"/>
            <w:noWrap w:val="false"/>
          </w:tcPr>
          <w:p w14:paraId="411E1FD6" w14:textId="77777777">
            <w:pPr>
              <w:pBdr/>
              <w:spacing w:line="360" w:lineRule="auto"/>
              <w:ind/>
              <w:rPr>
                <w:rFonts w:ascii="Arial" w:cs="Arial"/>
              </w:rPr>
            </w:pPr>
            <w:r>
              <w:rPr>
                <w:rFonts w:ascii="Arial" w:cs="Arial"/>
              </w:rPr>
            </w:r>
            <w:r>
              <w:rPr>
                <w:rFonts w:ascii="Arial" w:cs="Arial"/>
              </w:rPr>
            </w:r>
          </w:p>
        </w:tc>
        <w:tc>
          <w:tcPr>
            <w:tcBorders>
              <w:top w:val="single" w:color="000000" w:sz="4" w:space="0"/>
              <w:left w:val="single" w:color="000000" w:sz="4" w:space="0"/>
              <w:bottom w:val="single" w:color="000000" w:sz="4" w:space="0"/>
              <w:right w:val="single" w:color="000000" w:sz="4" w:space="0"/>
            </w:tcBorders>
            <w:tcMar>
              <w:left w:w="108" w:type="dxa"/>
              <w:right w:w="108" w:type="dxa"/>
            </w:tcMar>
            <w:tcW w:w="2084" w:type="dxa"/>
            <w:textDirection w:val="lrTb"/>
            <w:noWrap w:val="false"/>
          </w:tcPr>
          <w:p w14:paraId="3BB83387" w14:textId="77777777">
            <w:pPr>
              <w:pBdr/>
              <w:spacing w:line="360" w:lineRule="auto"/>
              <w:ind/>
              <w:rPr>
                <w:rFonts w:ascii="Arial" w:cs="Arial"/>
              </w:rPr>
            </w:pPr>
            <w:r>
              <w:rPr>
                <w:rFonts w:ascii="Arial" w:cs="Arial"/>
              </w:rPr>
            </w:r>
            <w:r>
              <w:rPr>
                <w:rFonts w:ascii="Arial" w:cs="Arial"/>
              </w:rPr>
            </w:r>
          </w:p>
        </w:tc>
      </w:tr>
      <w:tr>
        <w:trPr/>
        <w:tc>
          <w:tcPr>
            <w:gridSpan w:val="5"/>
            <w:tcBorders>
              <w:top w:val="single" w:color="000000" w:sz="4" w:space="0"/>
              <w:left w:val="single" w:color="000000" w:sz="4" w:space="0"/>
              <w:bottom w:val="single" w:color="000000" w:sz="4" w:space="0"/>
              <w:right w:val="single" w:color="000000" w:sz="4" w:space="0"/>
            </w:tcBorders>
            <w:tcMar>
              <w:left w:w="108" w:type="dxa"/>
              <w:right w:w="108" w:type="dxa"/>
            </w:tcMar>
            <w:tcW w:w="5529" w:type="dxa"/>
            <w:textDirection w:val="lrTb"/>
            <w:noWrap w:val="false"/>
          </w:tcPr>
          <w:p w14:paraId="4C276DA5" w14:textId="77777777">
            <w:pPr>
              <w:pBdr/>
              <w:spacing w:line="360" w:lineRule="auto"/>
              <w:ind/>
              <w:rPr>
                <w:rFonts w:ascii="Arial" w:cs="Arial"/>
              </w:rPr>
            </w:pPr>
            <w:r>
              <w:rPr>
                <w:rFonts w:ascii="Arial" w:cs="Arial"/>
              </w:rPr>
            </w:r>
            <w:r>
              <w:rPr>
                <w:rFonts w:ascii="Arial" w:cs="Arial"/>
              </w:rPr>
            </w:r>
          </w:p>
        </w:tc>
        <w:tc>
          <w:tcPr>
            <w:gridSpan w:val="4"/>
            <w:tcBorders>
              <w:top w:val="single" w:color="000000" w:sz="4" w:space="0"/>
              <w:left w:val="single" w:color="000000" w:sz="4" w:space="0"/>
              <w:bottom w:val="single" w:color="000000" w:sz="4" w:space="0"/>
              <w:right w:val="single" w:color="000000" w:sz="4" w:space="0"/>
            </w:tcBorders>
            <w:tcMar>
              <w:left w:w="108" w:type="dxa"/>
              <w:right w:w="108" w:type="dxa"/>
            </w:tcMar>
            <w:tcW w:w="2310" w:type="dxa"/>
            <w:textDirection w:val="lrTb"/>
            <w:noWrap w:val="false"/>
          </w:tcPr>
          <w:p w14:paraId="1FA639E5" w14:textId="77777777">
            <w:pPr>
              <w:pBdr/>
              <w:spacing w:line="360" w:lineRule="auto"/>
              <w:ind/>
              <w:rPr>
                <w:rFonts w:ascii="Arial" w:cs="Arial"/>
              </w:rPr>
            </w:pPr>
            <w:r>
              <w:rPr>
                <w:rFonts w:ascii="Arial" w:cs="Arial"/>
              </w:rPr>
            </w:r>
            <w:r>
              <w:rPr>
                <w:rFonts w:ascii="Arial" w:cs="Arial"/>
              </w:rPr>
            </w:r>
          </w:p>
        </w:tc>
        <w:tc>
          <w:tcPr>
            <w:tcBorders>
              <w:top w:val="single" w:color="000000" w:sz="4" w:space="0"/>
              <w:left w:val="single" w:color="000000" w:sz="4" w:space="0"/>
              <w:bottom w:val="single" w:color="000000" w:sz="4" w:space="0"/>
              <w:right w:val="single" w:color="000000" w:sz="4" w:space="0"/>
            </w:tcBorders>
            <w:tcMar>
              <w:left w:w="108" w:type="dxa"/>
              <w:right w:w="108" w:type="dxa"/>
            </w:tcMar>
            <w:tcW w:w="2084" w:type="dxa"/>
            <w:textDirection w:val="lrTb"/>
            <w:noWrap w:val="false"/>
          </w:tcPr>
          <w:p w14:paraId="4707CFB2" w14:textId="77777777">
            <w:pPr>
              <w:pBdr/>
              <w:spacing w:line="360" w:lineRule="auto"/>
              <w:ind/>
              <w:rPr>
                <w:rFonts w:ascii="Arial" w:cs="Arial"/>
              </w:rPr>
            </w:pPr>
            <w:r>
              <w:rPr>
                <w:rFonts w:ascii="Arial" w:cs="Arial"/>
              </w:rPr>
            </w:r>
            <w:r>
              <w:rPr>
                <w:rFonts w:ascii="Arial" w:cs="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Mar>
              <w:left w:w="108" w:type="dxa"/>
              <w:right w:w="108" w:type="dxa"/>
            </w:tcMar>
            <w:tcW w:w="9923" w:type="dxa"/>
            <w:vAlign w:val="bottom"/>
            <w:textDirection w:val="lrTb"/>
            <w:noWrap w:val="false"/>
          </w:tcPr>
          <w:p w14:paraId="516B2EFD" w14:textId="77777777">
            <w:pPr>
              <w:pBdr/>
              <w:spacing/>
              <w:ind/>
              <w:rPr/>
            </w:pPr>
            <w:r>
              <w:rPr>
                <w:rFonts w:ascii="Arial" w:hAnsi="Arial" w:cs="Arial"/>
              </w:rPr>
              <w:t xml:space="preserve">DATA DE REGISTRO DA EMPRESA NA JUNTA COMERCIAL: ____/____/______</w:t>
            </w:r>
            <w:r/>
          </w:p>
        </w:tc>
      </w:tr>
      <w:tr>
        <w:trPr>
          <w:trHeight w:val="417"/>
        </w:trPr>
        <w:tc>
          <w:tcPr>
            <w:gridSpan w:val="2"/>
            <w:tcBorders>
              <w:top w:val="single" w:color="000000" w:sz="4" w:space="0"/>
              <w:left w:val="single" w:color="000000" w:sz="4" w:space="0"/>
              <w:bottom w:val="single" w:color="000000" w:sz="4" w:space="0"/>
              <w:right w:val="single" w:color="000000" w:sz="4" w:space="0"/>
            </w:tcBorders>
            <w:tcMar>
              <w:left w:w="108" w:type="dxa"/>
              <w:right w:w="108" w:type="dxa"/>
            </w:tcMar>
            <w:tcW w:w="3828" w:type="dxa"/>
            <w:vAlign w:val="bottom"/>
            <w:textDirection w:val="lrTb"/>
            <w:noWrap w:val="false"/>
          </w:tcPr>
          <w:p w14:paraId="68EE06C9" w14:textId="77777777">
            <w:pPr>
              <w:pBdr/>
              <w:spacing/>
              <w:ind/>
              <w:rPr/>
            </w:pPr>
            <w:r>
              <w:rPr>
                <w:rFonts w:ascii="Arial" w:hAnsi="Arial" w:cs="Arial"/>
              </w:rPr>
              <w:t xml:space="preserve">CONTA CORRENTE Nº:</w:t>
            </w:r>
            <w:r/>
          </w:p>
        </w:tc>
        <w:tc>
          <w:tcPr>
            <w:gridSpan w:val="6"/>
            <w:tcBorders>
              <w:top w:val="single" w:color="000000" w:sz="4" w:space="0"/>
              <w:left w:val="single" w:color="000000" w:sz="4" w:space="0"/>
              <w:bottom w:val="single" w:color="000000" w:sz="4" w:space="0"/>
              <w:right w:val="single" w:color="000000" w:sz="4" w:space="0"/>
            </w:tcBorders>
            <w:tcMar>
              <w:left w:w="108" w:type="dxa"/>
              <w:right w:w="108" w:type="dxa"/>
            </w:tcMar>
            <w:tcW w:w="3969" w:type="dxa"/>
            <w:vAlign w:val="bottom"/>
            <w:textDirection w:val="lrTb"/>
            <w:noWrap w:val="false"/>
          </w:tcPr>
          <w:p w14:paraId="0E8742CF" w14:textId="77777777">
            <w:pPr>
              <w:pBdr/>
              <w:spacing/>
              <w:ind/>
              <w:rPr/>
            </w:pPr>
            <w:r>
              <w:rPr>
                <w:rFonts w:ascii="Arial" w:hAnsi="Arial" w:cs="Arial"/>
              </w:rPr>
              <w:t xml:space="preserve">NOME DO BANCO:</w:t>
            </w:r>
            <w:r/>
          </w:p>
        </w:tc>
        <w:tc>
          <w:tcPr>
            <w:gridSpan w:val="2"/>
            <w:tcBorders>
              <w:top w:val="single" w:color="000000" w:sz="4" w:space="0"/>
              <w:left w:val="single" w:color="000000" w:sz="4" w:space="0"/>
              <w:bottom w:val="single" w:color="000000" w:sz="4" w:space="0"/>
              <w:right w:val="single" w:color="000000" w:sz="4" w:space="0"/>
            </w:tcBorders>
            <w:tcMar>
              <w:left w:w="108" w:type="dxa"/>
              <w:right w:w="108" w:type="dxa"/>
            </w:tcMar>
            <w:tcW w:w="2126" w:type="dxa"/>
            <w:vAlign w:val="bottom"/>
            <w:textDirection w:val="lrTb"/>
            <w:noWrap w:val="false"/>
          </w:tcPr>
          <w:p w14:paraId="761AC75A" w14:textId="77777777">
            <w:pPr>
              <w:pBdr/>
              <w:spacing/>
              <w:ind/>
              <w:rPr/>
            </w:pPr>
            <w:r>
              <w:rPr>
                <w:rFonts w:ascii="Arial" w:hAnsi="Arial" w:cs="Arial"/>
              </w:rPr>
              <w:t xml:space="preserve">AGENCIA Nº:</w:t>
            </w:r>
            <w:r/>
          </w:p>
        </w:tc>
      </w:tr>
    </w:tbl>
    <w:p w14:paraId="5AB1B9AD" w14:textId="77777777">
      <w:pPr>
        <w:pBdr/>
        <w:spacing w:line="360" w:lineRule="auto"/>
        <w:ind/>
        <w:rPr>
          <w:rFonts w:ascii="Arial" w:cs="Arial"/>
        </w:rPr>
      </w:pPr>
      <w:r>
        <w:rPr>
          <w:rFonts w:ascii="Arial" w:cs="Arial"/>
        </w:rPr>
      </w:r>
      <w:r>
        <w:rPr>
          <w:rFonts w:ascii="Arial" w:cs="Arial"/>
        </w:rPr>
      </w:r>
    </w:p>
    <w:p w14:paraId="6F2D18C2" w14:textId="77777777">
      <w:pPr>
        <w:pBdr/>
        <w:spacing/>
        <w:ind/>
        <w:jc w:val="center"/>
        <w:rPr/>
      </w:pPr>
      <w:r>
        <w:rPr>
          <w:rFonts w:ascii="Arial" w:hAnsi="Arial" w:cs="Arial"/>
        </w:rPr>
        <w:t xml:space="preserve">AUTORIZAÇÃO</w:t>
      </w:r>
      <w:r/>
    </w:p>
    <w:p w14:paraId="301BAE6F" w14:textId="77777777">
      <w:pPr>
        <w:pBdr/>
        <w:spacing/>
        <w:ind/>
        <w:jc w:val="center"/>
        <w:rPr>
          <w:rFonts w:ascii="Arial" w:cs="Arial"/>
        </w:rPr>
      </w:pPr>
      <w:r>
        <w:rPr>
          <w:rFonts w:ascii="Arial" w:cs="Arial"/>
        </w:rPr>
      </w:r>
      <w:r>
        <w:rPr>
          <w:rFonts w:ascii="Arial" w:cs="Arial"/>
        </w:rPr>
      </w:r>
    </w:p>
    <w:p w14:paraId="30FF97CA" w14:textId="77777777">
      <w:pPr>
        <w:pBdr/>
        <w:spacing/>
        <w:ind/>
        <w:jc w:val="both"/>
        <w:rPr/>
      </w:pPr>
      <w:r>
        <w:rPr>
          <w:rFonts w:ascii="Arial" w:hAnsi="Arial" w:cs="Arial"/>
        </w:rPr>
        <w:t xml:space="preserve">Autorizo o depósito na conta corrente acima especificada, dos valores de vendas e ou serviços a serem oferecidos para Prefeitura Municipal de Rondonópolis.</w:t>
      </w:r>
      <w:r/>
    </w:p>
    <w:p w14:paraId="586EF474" w14:textId="77777777">
      <w:pPr>
        <w:pBdr/>
        <w:spacing/>
        <w:ind/>
        <w:jc w:val="both"/>
        <w:rPr>
          <w:rFonts w:ascii="Arial" w:cs="Arial"/>
        </w:rPr>
      </w:pPr>
      <w:r>
        <w:rPr>
          <w:rFonts w:ascii="Arial" w:cs="Arial"/>
        </w:rPr>
      </w:r>
      <w:r>
        <w:rPr>
          <w:rFonts w:ascii="Arial" w:cs="Arial"/>
        </w:rPr>
      </w:r>
    </w:p>
    <w:p w14:paraId="33A4D857" w14:textId="77777777">
      <w:pPr>
        <w:pBdr/>
        <w:spacing/>
        <w:ind/>
        <w:jc w:val="center"/>
        <w:rPr/>
      </w:pPr>
      <w:r>
        <w:rPr>
          <w:rFonts w:ascii="Arial" w:hAnsi="Arial" w:cs="Arial"/>
        </w:rPr>
        <w:t xml:space="preserve">____________________________________________</w:t>
      </w:r>
      <w:r/>
    </w:p>
    <w:p w14:paraId="560C3F0C" w14:textId="77777777">
      <w:pPr>
        <w:pBdr/>
        <w:spacing/>
        <w:ind/>
        <w:jc w:val="both"/>
        <w:rPr/>
      </w:pPr>
      <w:r>
        <w:rPr>
          <w:rFonts w:ascii="Arial" w:hAnsi="Arial" w:cs="Arial"/>
        </w:rPr>
        <w:t xml:space="preserve">                                                                Sócio/Proprietário</w:t>
      </w:r>
      <w:r/>
    </w:p>
    <w:p w14:paraId="2EDB871A" w14:textId="77777777">
      <w:pPr>
        <w:pBdr/>
        <w:spacing w:line="276" w:lineRule="auto"/>
        <w:ind/>
        <w:jc w:val="both"/>
        <w:rPr/>
      </w:pPr>
      <w:r>
        <w:rPr>
          <w:rFonts w:ascii="Arial" w:hAnsi="Arial" w:cs="Arial"/>
        </w:rPr>
        <w:t xml:space="preserve">01 – CONTRATO SOCIAL CONSTANDO O OBJETO E A ÚLTIMA ALTERAÇÃO;</w:t>
      </w:r>
      <w:r/>
    </w:p>
    <w:p w14:paraId="36DABED2" w14:textId="77777777">
      <w:pPr>
        <w:pBdr/>
        <w:spacing w:line="276" w:lineRule="auto"/>
        <w:ind/>
        <w:jc w:val="both"/>
        <w:rPr/>
      </w:pPr>
      <w:r>
        <w:rPr>
          <w:rFonts w:ascii="Arial" w:hAnsi="Arial" w:cs="Arial"/>
        </w:rPr>
        <w:t xml:space="preserve">02 – ALVARÁ DE LOCALIZAÇÃO EM VIGÊNCIA;</w:t>
      </w:r>
      <w:r/>
    </w:p>
    <w:p w14:paraId="00D757FB" w14:textId="77777777">
      <w:pPr>
        <w:pBdr/>
        <w:spacing w:line="276" w:lineRule="auto"/>
        <w:ind/>
        <w:jc w:val="both"/>
        <w:rPr/>
      </w:pPr>
      <w:r>
        <w:rPr>
          <w:rFonts w:ascii="Arial" w:hAnsi="Arial" w:cs="Arial"/>
        </w:rPr>
        <w:t xml:space="preserve">03 – CARTÃO DO CNPJ; </w:t>
      </w:r>
      <w:r/>
    </w:p>
    <w:p w14:paraId="6056FBEB" w14:textId="77777777">
      <w:pPr>
        <w:pBdr/>
        <w:spacing w:line="276" w:lineRule="auto"/>
        <w:ind/>
        <w:jc w:val="both"/>
        <w:rPr/>
      </w:pPr>
      <w:r>
        <w:rPr>
          <w:rFonts w:ascii="Arial" w:hAnsi="Arial" w:cs="Arial"/>
        </w:rPr>
        <w:t xml:space="preserve">04 – CARTÃO DE INSCRIÇÃO ESTADUAL;</w:t>
      </w:r>
      <w:r/>
    </w:p>
    <w:p w14:paraId="040B4802" w14:textId="77777777">
      <w:pPr>
        <w:pBdr/>
        <w:spacing w:line="276" w:lineRule="auto"/>
        <w:ind/>
        <w:jc w:val="both"/>
        <w:rPr/>
      </w:pPr>
      <w:r>
        <w:rPr>
          <w:rFonts w:ascii="Arial" w:hAnsi="Arial" w:cs="Arial"/>
        </w:rPr>
        <w:t xml:space="preserve">05 – DOCUMENTOS PESSOAIS DOS SÓCIOS</w:t>
      </w:r>
      <w:r/>
    </w:p>
    <w:p w14:paraId="3FD6274E" w14:textId="77777777">
      <w:pPr>
        <w:pBdr/>
        <w:spacing w:line="276" w:lineRule="auto"/>
        <w:ind/>
        <w:jc w:val="both"/>
        <w:rPr/>
      </w:pPr>
      <w:r>
        <w:rPr>
          <w:rFonts w:ascii="Arial" w:hAnsi="Arial" w:cs="Arial"/>
        </w:rPr>
        <w:t xml:space="preserve">06 – DOCUMENTO QUE COMPROVE OS DADOS BANCÁRIOS (EX. CARTÃO ELETRÔNICO).</w:t>
      </w:r>
      <w:r/>
    </w:p>
    <w:p w14:paraId="15AEA61E" w14:textId="77777777">
      <w:pPr>
        <w:pBdr/>
        <w:spacing/>
        <w:ind/>
        <w:jc w:val="both"/>
        <w:rPr>
          <w:rFonts w:ascii="Arial" w:hAnsi="Arial" w:cs="Arial"/>
        </w:rPr>
      </w:pPr>
      <w:r>
        <w:rPr>
          <w:rFonts w:ascii="Arial" w:hAnsi="Arial" w:cs="Arial"/>
        </w:rPr>
        <w:t xml:space="preserve">Observação: As cópias dos documentos solicitados não serão devolvidas, pois as mesmas serão arquivadas, no Departamento de Compras.</w:t>
      </w:r>
      <w:r>
        <w:rPr>
          <w:rFonts w:ascii="Arial" w:hAnsi="Arial" w:cs="Arial"/>
        </w:rPr>
      </w:r>
    </w:p>
    <w:p w14:paraId="68278B03" w14:textId="77777777">
      <w:pPr>
        <w:pBdr/>
        <w:spacing/>
        <w:ind/>
        <w:jc w:val="both"/>
        <w:rPr>
          <w:rFonts w:ascii="Arial" w:hAnsi="Arial" w:cs="Arial"/>
        </w:rPr>
      </w:pPr>
      <w:r>
        <w:rPr>
          <w:rFonts w:ascii="Arial" w:hAnsi="Arial" w:cs="Arial"/>
        </w:rPr>
      </w:r>
      <w:r>
        <w:rPr>
          <w:rFonts w:ascii="Arial" w:hAnsi="Arial" w:cs="Arial"/>
        </w:rPr>
      </w:r>
    </w:p>
    <w:p w14:paraId="500CE22F" w14:textId="77777777">
      <w:pPr>
        <w:pBdr/>
        <w:spacing/>
        <w:ind/>
        <w:jc w:val="both"/>
        <w:rPr>
          <w:rFonts w:ascii="Arial" w:hAnsi="Arial" w:cs="Arial"/>
        </w:rPr>
      </w:pPr>
      <w:r>
        <w:rPr>
          <w:rFonts w:ascii="Arial" w:hAnsi="Arial" w:cs="Arial"/>
        </w:rPr>
      </w:r>
      <w:r>
        <w:rPr>
          <w:rFonts w:ascii="Arial" w:hAnsi="Arial" w:cs="Arial"/>
        </w:rPr>
      </w:r>
    </w:p>
    <w:p w14:paraId="194DF4BA" w14:textId="77777777">
      <w:pPr>
        <w:pBdr/>
        <w:spacing/>
        <w:ind/>
        <w:jc w:val="both"/>
        <w:rPr>
          <w:rFonts w:ascii="Arial" w:hAnsi="Arial" w:cs="Arial"/>
        </w:rPr>
      </w:pPr>
      <w:r>
        <w:rPr>
          <w:rFonts w:ascii="Arial" w:hAnsi="Arial" w:cs="Arial"/>
        </w:rPr>
      </w:r>
      <w:r>
        <w:rPr>
          <w:rFonts w:ascii="Arial" w:hAnsi="Arial" w:cs="Arial"/>
        </w:rPr>
      </w:r>
    </w:p>
    <w:p w14:paraId="5EB23A44" w14:textId="77777777">
      <w:pPr>
        <w:pBdr/>
        <w:spacing w:line="360" w:lineRule="auto"/>
        <w:ind w:right="-143"/>
        <w:jc w:val="center"/>
        <w:rPr>
          <w:rFonts w:ascii="Arial" w:hAnsi="Arial" w:cs="Arial"/>
          <w:b/>
          <w:bCs/>
          <w:u w:val="single"/>
        </w:rPr>
      </w:pPr>
      <w:r>
        <w:rPr>
          <w:rFonts w:ascii="Arial" w:hAnsi="Arial" w:cs="Arial"/>
        </w:rPr>
        <w:t xml:space="preserve">ANEXO VIII</w:t>
      </w:r>
      <w:r>
        <w:rPr>
          <w:rFonts w:ascii="Arial" w:hAnsi="Arial" w:cs="Arial"/>
          <w:b/>
          <w:bCs/>
          <w:u w:val="single"/>
        </w:rPr>
        <w:br/>
        <w:t xml:space="preserve">ANEXO CHECKLIST</w:t>
      </w:r>
      <w:r>
        <w:rPr>
          <w:rFonts w:ascii="Arial" w:hAnsi="Arial" w:cs="Arial"/>
          <w:b/>
          <w:bCs/>
          <w:u w:val="single"/>
        </w:rPr>
      </w:r>
    </w:p>
    <w:p w14:paraId="76723378" w14:textId="77777777">
      <w:pPr>
        <w:pBdr/>
        <w:spacing w:line="360" w:lineRule="auto"/>
        <w:ind w:right="-143"/>
        <w:jc w:val="both"/>
        <w:rPr>
          <w:rFonts w:ascii="Arial" w:hAnsi="Arial" w:cs="Arial"/>
        </w:rPr>
      </w:pPr>
      <w:r>
        <w:rPr>
          <w:rFonts w:ascii="Arial" w:hAnsi="Arial" w:cs="Arial"/>
        </w:rPr>
      </w:r>
      <w:r>
        <w:rPr>
          <w:rFonts w:ascii="Arial" w:hAnsi="Arial" w:cs="Arial"/>
        </w:rPr>
      </w:r>
    </w:p>
    <w:p w14:paraId="162D6A99" w14:textId="290C66BF">
      <w:pPr>
        <w:pBdr/>
        <w:spacing w:line="360" w:lineRule="auto"/>
        <w:ind w:right="-143"/>
        <w:jc w:val="both"/>
        <w:rPr>
          <w:rFonts w:ascii="Arial" w:hAnsi="Arial" w:cs="Arial"/>
        </w:rPr>
      </w:pPr>
      <w:r>
        <w:rPr>
          <w:rFonts w:ascii="Arial" w:hAnsi="Arial" w:cs="Arial"/>
        </w:rPr>
        <w:t xml:space="preserve">A empresa vencedora deverá realizar apresentação simulada do seu sistema informatizado conforme item 7.4 Edital conforme </w:t>
      </w:r>
      <w:r>
        <w:rPr>
          <w:rFonts w:ascii="Arial" w:hAnsi="Arial" w:cs="Arial"/>
          <w:b/>
          <w:bCs/>
        </w:rPr>
        <w:t xml:space="preserve">checklis</w:t>
      </w:r>
      <w:r>
        <w:rPr>
          <w:rFonts w:ascii="Arial" w:hAnsi="Arial" w:cs="Arial"/>
        </w:rPr>
        <w:t xml:space="preserve">t anexo, atendendo a </w:t>
      </w:r>
      <w:r>
        <w:rPr>
          <w:rFonts w:ascii="Arial" w:hAnsi="Arial" w:cs="Arial"/>
          <w:b/>
          <w:bCs/>
        </w:rPr>
        <w:t xml:space="preserve">80</w:t>
      </w:r>
      <w:r>
        <w:rPr>
          <w:rFonts w:ascii="Arial" w:hAnsi="Arial" w:cs="Arial"/>
          <w:b/>
          <w:bCs/>
        </w:rPr>
        <w:t xml:space="preserve">%</w:t>
      </w:r>
      <w:r>
        <w:rPr>
          <w:rFonts w:ascii="Arial" w:hAnsi="Arial" w:cs="Arial"/>
        </w:rPr>
        <w:t xml:space="preserve"> do solicitado, executando cada etapa do sistema comprovando cada função na pratica e em telas funcionais, para ser validada por comissão especialmente designada pela Comissão de licitação, no prazo máximo de </w:t>
      </w:r>
      <w:r>
        <w:rPr>
          <w:rFonts w:ascii="Arial" w:hAnsi="Arial" w:cs="Arial"/>
        </w:rPr>
        <w:t xml:space="preserve">07</w:t>
      </w:r>
      <w:r>
        <w:rPr>
          <w:rFonts w:ascii="Arial" w:hAnsi="Arial" w:cs="Arial"/>
        </w:rPr>
        <w:t xml:space="preserve"> (</w:t>
      </w:r>
      <w:r>
        <w:rPr>
          <w:rFonts w:ascii="Arial" w:hAnsi="Arial" w:cs="Arial"/>
        </w:rPr>
        <w:t xml:space="preserve">sete</w:t>
      </w:r>
      <w:r>
        <w:rPr>
          <w:rFonts w:ascii="Arial" w:hAnsi="Arial" w:cs="Arial"/>
        </w:rPr>
        <w:t xml:space="preserve">) dias úteis após a convocação, no local e horário indicado para isso.</w:t>
      </w:r>
      <w:r>
        <w:rPr>
          <w:rFonts w:ascii="Arial" w:hAnsi="Arial" w:cs="Arial"/>
        </w:rPr>
      </w:r>
    </w:p>
    <w:p w14:paraId="675F278D" w14:textId="389F46A3">
      <w:pPr>
        <w:widowControl w:val="false"/>
        <w:pBdr/>
        <w:spacing w:after="120"/>
        <w:ind/>
        <w:jc w:val="both"/>
        <w:rPr>
          <w:rFonts w:ascii="Arial" w:hAnsi="Arial" w:cs="Arial"/>
          <w:bCs/>
          <w:iCs/>
        </w:rPr>
      </w:pPr>
      <w:r>
        <w:rPr>
          <w:rFonts w:ascii="Arial" w:hAnsi="Arial" w:cs="Arial"/>
          <w:bCs/>
          <w:iCs/>
        </w:rPr>
        <w:t xml:space="preserve">Caberá à </w:t>
      </w:r>
      <w:r>
        <w:rPr>
          <w:rFonts w:ascii="Arial" w:hAnsi="Arial" w:cs="Arial"/>
          <w:bCs/>
          <w:iCs/>
        </w:rPr>
        <w:t xml:space="preserve">comissão de avaliação</w:t>
      </w:r>
      <w:r>
        <w:rPr>
          <w:rFonts w:ascii="Arial" w:hAnsi="Arial" w:cs="Arial"/>
          <w:bCs/>
          <w:iCs/>
        </w:rPr>
        <w:t xml:space="preserve">, emitir parecer circunstanciado a fim de verificar a compatibilidade do modelo apresentado com as especificações do instrumento convocatório;</w:t>
      </w:r>
      <w:r>
        <w:rPr>
          <w:rFonts w:ascii="Arial" w:hAnsi="Arial" w:cs="Arial"/>
          <w:bCs/>
          <w:iCs/>
        </w:rPr>
      </w:r>
    </w:p>
    <w:p w14:paraId="487D405C" w14:textId="77777777">
      <w:pPr>
        <w:widowControl w:val="false"/>
        <w:pBdr/>
        <w:spacing w:after="120"/>
        <w:ind/>
        <w:jc w:val="both"/>
        <w:rPr>
          <w:rFonts w:ascii="Arial" w:hAnsi="Arial" w:cs="Arial"/>
          <w:bCs/>
          <w:iCs/>
        </w:rPr>
      </w:pPr>
      <w:r>
        <w:rPr>
          <w:rFonts w:ascii="Arial" w:hAnsi="Arial" w:cs="Arial"/>
          <w:bCs/>
          <w:iCs/>
        </w:rPr>
        <w:t xml:space="preserve">Poderão permanecer próximos à mesa de avaliação somente o avaliado e a equipe de avaliação, a equipe da empresa avaliada não pode ter mais que </w:t>
      </w:r>
      <w:r>
        <w:rPr>
          <w:rFonts w:ascii="Arial" w:hAnsi="Arial" w:cs="Arial"/>
          <w:b/>
          <w:iCs/>
        </w:rPr>
        <w:t xml:space="preserve">quatro pessoas</w:t>
      </w:r>
      <w:r>
        <w:rPr>
          <w:rFonts w:ascii="Arial" w:hAnsi="Arial" w:cs="Arial"/>
          <w:bCs/>
          <w:iCs/>
        </w:rPr>
        <w:t xml:space="preserve">;</w:t>
      </w:r>
      <w:r>
        <w:rPr>
          <w:rFonts w:ascii="Arial" w:hAnsi="Arial" w:cs="Arial"/>
          <w:bCs/>
          <w:iCs/>
        </w:rPr>
      </w:r>
    </w:p>
    <w:p w14:paraId="081AF818" w14:textId="77777777">
      <w:pPr>
        <w:widowControl w:val="false"/>
        <w:pBdr/>
        <w:spacing w:after="120"/>
        <w:ind/>
        <w:jc w:val="both"/>
        <w:rPr>
          <w:rFonts w:ascii="Arial" w:hAnsi="Arial" w:cs="Arial"/>
          <w:bCs/>
          <w:iCs/>
        </w:rPr>
      </w:pPr>
      <w:r>
        <w:rPr>
          <w:rFonts w:ascii="Arial" w:hAnsi="Arial" w:cs="Arial"/>
          <w:bCs/>
          <w:iCs/>
        </w:rPr>
        <w:t xml:space="preserve">Não será permitida a manifestação dos participantes durante a execução dos testes, exceto o licitante avaliado;</w:t>
      </w:r>
      <w:r>
        <w:rPr>
          <w:rFonts w:ascii="Arial" w:hAnsi="Arial" w:cs="Arial"/>
          <w:bCs/>
          <w:iCs/>
        </w:rPr>
      </w:r>
    </w:p>
    <w:p w14:paraId="0DAC6F10" w14:textId="77777777">
      <w:pPr>
        <w:widowControl w:val="false"/>
        <w:pBdr/>
        <w:spacing w:after="120"/>
        <w:ind/>
        <w:jc w:val="both"/>
        <w:rPr>
          <w:rFonts w:ascii="Arial" w:hAnsi="Arial" w:cs="Arial"/>
          <w:bCs/>
          <w:iCs/>
        </w:rPr>
      </w:pPr>
      <w:r>
        <w:rPr>
          <w:rFonts w:ascii="Arial" w:hAnsi="Arial" w:cs="Arial"/>
          <w:bCs/>
          <w:iCs/>
        </w:rPr>
        <w:t xml:space="preserve">Somente será permitida um representante legal de cada concorrente na avaliação do sistema, identificada por procuração legal;</w:t>
      </w:r>
      <w:r>
        <w:rPr>
          <w:rFonts w:ascii="Arial" w:hAnsi="Arial" w:cs="Arial"/>
          <w:bCs/>
          <w:iCs/>
        </w:rPr>
      </w:r>
    </w:p>
    <w:p w14:paraId="2B2D7116" w14:textId="77777777">
      <w:pPr>
        <w:widowControl w:val="false"/>
        <w:pBdr/>
        <w:spacing w:after="120"/>
        <w:ind/>
        <w:jc w:val="both"/>
        <w:rPr>
          <w:rFonts w:ascii="Arial" w:hAnsi="Arial" w:cs="Arial"/>
          <w:bCs/>
          <w:iCs/>
        </w:rPr>
      </w:pPr>
      <w:r>
        <w:rPr>
          <w:rFonts w:ascii="Arial" w:hAnsi="Arial" w:cs="Arial"/>
          <w:bCs/>
          <w:iCs/>
        </w:rPr>
        <w:t xml:space="preserve">Será concedida a oportunidade para a manifestação dos demais participantes, </w:t>
      </w:r>
      <w:r>
        <w:rPr>
          <w:rFonts w:ascii="Arial" w:hAnsi="Arial" w:cs="Arial"/>
          <w:bCs/>
          <w:iCs/>
        </w:rPr>
        <w:t xml:space="preserve">colocar as suas observações em ATA que será enviada por e-mail, somente neste momento será possível a eles realizarem questionamentos da apresentação, no local não caberá nenhuma forma a não ser a de forma formal por e-mail, conforme relatado neste edital;</w:t>
      </w:r>
      <w:r>
        <w:rPr>
          <w:rFonts w:ascii="Arial" w:hAnsi="Arial" w:cs="Arial"/>
          <w:bCs/>
          <w:iCs/>
        </w:rPr>
      </w:r>
    </w:p>
    <w:p w14:paraId="09581C48" w14:textId="77777777">
      <w:pPr>
        <w:widowControl w:val="false"/>
        <w:pBdr/>
        <w:spacing w:after="120"/>
        <w:ind/>
        <w:jc w:val="both"/>
        <w:rPr>
          <w:rFonts w:ascii="Arial" w:hAnsi="Arial" w:cs="Arial"/>
          <w:bCs/>
          <w:iCs/>
        </w:rPr>
      </w:pPr>
      <w:r>
        <w:rPr>
          <w:rFonts w:ascii="Arial" w:hAnsi="Arial" w:cs="Arial"/>
          <w:bCs/>
          <w:iCs/>
        </w:rPr>
        <w:t xml:space="preserve">Não serão aceitos durante a avaliação questionamentos sobre os requisitos verificados nos testes, uma vez que no momento oportuno será concedido as observações que serão recebidas por e-mail e somente por este meio de formalização;</w:t>
      </w:r>
      <w:r>
        <w:rPr>
          <w:rFonts w:ascii="Arial" w:hAnsi="Arial" w:cs="Arial"/>
          <w:bCs/>
          <w:iCs/>
        </w:rPr>
      </w:r>
    </w:p>
    <w:p w14:paraId="1441ADFB" w14:textId="77777777">
      <w:pPr>
        <w:widowControl w:val="false"/>
        <w:pBdr/>
        <w:spacing w:after="120"/>
        <w:ind/>
        <w:jc w:val="both"/>
        <w:rPr>
          <w:rFonts w:ascii="Arial" w:hAnsi="Arial" w:cs="Arial"/>
          <w:bCs/>
          <w:iCs/>
        </w:rPr>
      </w:pPr>
      <w:r>
        <w:rPr>
          <w:rFonts w:ascii="Arial" w:hAnsi="Arial" w:cs="Arial"/>
          <w:bCs/>
          <w:iCs/>
        </w:rPr>
        <w:t xml:space="preserve">Ao final da avaliação será emitida Ata com o resultado do licitante avaliado que deverá ser assinada por todos os seus presentes;</w:t>
      </w:r>
      <w:r>
        <w:rPr>
          <w:rFonts w:ascii="Arial" w:hAnsi="Arial" w:cs="Arial"/>
          <w:bCs/>
          <w:iCs/>
        </w:rPr>
      </w:r>
    </w:p>
    <w:p w14:paraId="36BC3606" w14:textId="77777777">
      <w:pPr>
        <w:pStyle w:val="1120"/>
        <w:widowControl w:val="false"/>
        <w:pBdr/>
        <w:spacing w:after="120"/>
        <w:ind w:left="0"/>
        <w:jc w:val="both"/>
        <w:rPr>
          <w:rFonts w:ascii="Arial" w:hAnsi="Arial" w:cs="Arial"/>
          <w:bCs/>
          <w:iCs/>
          <w:sz w:val="20"/>
          <w:szCs w:val="20"/>
        </w:rPr>
      </w:pPr>
      <w:r>
        <w:rPr>
          <w:rFonts w:ascii="Arial" w:hAnsi="Arial" w:cs="Arial"/>
          <w:bCs/>
          <w:iCs/>
          <w:sz w:val="20"/>
          <w:szCs w:val="20"/>
        </w:rPr>
        <w:t xml:space="preserve">Não será permitido gravar e ou tirar fotos dos representantes das outras empresas, para preservar a integridade do sistema da empresa vencedora que estará apresentando;</w:t>
      </w:r>
      <w:r>
        <w:rPr>
          <w:rFonts w:ascii="Arial" w:hAnsi="Arial" w:cs="Arial"/>
          <w:bCs/>
          <w:iCs/>
          <w:sz w:val="20"/>
          <w:szCs w:val="20"/>
        </w:rPr>
      </w:r>
    </w:p>
    <w:p w14:paraId="6D7154BA" w14:textId="205DFC70">
      <w:pPr>
        <w:pBdr/>
        <w:spacing w:line="360" w:lineRule="auto"/>
        <w:ind w:right="-143"/>
        <w:jc w:val="both"/>
        <w:rPr>
          <w:rFonts w:ascii="Arial" w:hAnsi="Arial" w:cs="Arial"/>
          <w:bCs/>
          <w:iCs/>
        </w:rPr>
      </w:pPr>
      <w:r>
        <w:rPr>
          <w:rFonts w:ascii="Arial" w:hAnsi="Arial" w:cs="Arial"/>
          <w:bCs/>
          <w:iCs/>
        </w:rPr>
        <w:t xml:space="preserve">Não será permitido para as demais participantes abrir o </w:t>
      </w:r>
      <w:r>
        <w:rPr>
          <w:rFonts w:ascii="Arial" w:hAnsi="Arial" w:cs="Arial"/>
          <w:bCs/>
          <w:iCs/>
        </w:rPr>
        <w:t xml:space="preserve">celular </w:t>
      </w:r>
      <w:r>
        <w:rPr>
          <w:rFonts w:ascii="Arial" w:hAnsi="Arial" w:cs="Arial"/>
          <w:bCs/>
          <w:iCs/>
        </w:rPr>
        <w:t xml:space="preserve">durante a apresentação.</w:t>
      </w:r>
      <w:r>
        <w:rPr>
          <w:rFonts w:ascii="Arial" w:hAnsi="Arial" w:cs="Arial"/>
          <w:bCs/>
          <w:iCs/>
        </w:rPr>
      </w:r>
    </w:p>
    <w:p w14:paraId="2FCC4787" w14:textId="77777777">
      <w:pPr>
        <w:pBdr/>
        <w:spacing w:line="360" w:lineRule="auto"/>
        <w:ind w:right="-143"/>
        <w:jc w:val="both"/>
        <w:rPr>
          <w:rFonts w:ascii="Arial" w:hAnsi="Arial" w:cs="Arial"/>
          <w:b/>
          <w:bCs/>
        </w:rPr>
      </w:pPr>
      <w:r>
        <w:rPr>
          <w:rFonts w:ascii="Arial" w:hAnsi="Arial" w:cs="Arial"/>
          <w:bCs/>
          <w:iCs/>
        </w:rPr>
        <w:t xml:space="preserve"> </w:t>
      </w:r>
      <w:r>
        <w:rPr>
          <w:rFonts w:ascii="Arial" w:hAnsi="Arial" w:cs="Arial"/>
          <w:b/>
          <w:bCs/>
        </w:rPr>
        <w:t xml:space="preserve">CHECKLIST</w:t>
      </w:r>
      <w:r>
        <w:rPr>
          <w:rFonts w:ascii="Arial" w:hAnsi="Arial" w:cs="Arial"/>
          <w:b/>
          <w:bCs/>
        </w:rPr>
      </w:r>
    </w:p>
    <w:p w14:paraId="4AE0C582" w14:textId="77777777">
      <w:pPr>
        <w:pStyle w:val="1120"/>
        <w:widowControl w:val="false"/>
        <w:pBdr/>
        <w:spacing w:after="120"/>
        <w:ind w:left="0"/>
        <w:jc w:val="both"/>
        <w:rPr>
          <w:rFonts w:ascii="Arial" w:hAnsi="Arial" w:cs="Arial"/>
          <w:bCs/>
          <w:iCs/>
          <w:sz w:val="20"/>
          <w:szCs w:val="20"/>
        </w:rPr>
      </w:pPr>
      <w:r>
        <w:rPr>
          <w:rFonts w:ascii="Arial" w:hAnsi="Arial" w:cs="Arial"/>
          <w:b/>
          <w:bCs/>
          <w:sz w:val="20"/>
          <w:szCs w:val="20"/>
        </w:rPr>
        <w:tab/>
      </w:r>
      <w:r>
        <w:rPr>
          <w:rFonts w:ascii="Arial" w:hAnsi="Arial" w:cs="Arial"/>
          <w:bCs/>
          <w:iCs/>
          <w:sz w:val="20"/>
          <w:szCs w:val="20"/>
        </w:rPr>
        <w:t xml:space="preserve">Checklist para validar o sistema da licitante melhor classifica.</w:t>
      </w:r>
      <w:r>
        <w:rPr>
          <w:rFonts w:ascii="Arial" w:hAnsi="Arial" w:cs="Arial"/>
          <w:bCs/>
          <w:iCs/>
          <w:sz w:val="20"/>
          <w:szCs w:val="20"/>
        </w:rPr>
      </w:r>
    </w:p>
    <w:p w14:paraId="2C05E04C" w14:textId="1A6D8DC4">
      <w:pPr>
        <w:pStyle w:val="1120"/>
        <w:widowControl w:val="false"/>
        <w:pBdr/>
        <w:spacing w:after="120"/>
        <w:ind w:left="0"/>
        <w:jc w:val="both"/>
        <w:rPr>
          <w:rFonts w:ascii="Arial" w:hAnsi="Arial" w:cs="Arial"/>
          <w:bCs/>
          <w:iCs/>
          <w:sz w:val="20"/>
          <w:szCs w:val="20"/>
        </w:rPr>
      </w:pPr>
      <w:r>
        <w:rPr>
          <w:rFonts w:ascii="Arial" w:hAnsi="Arial" w:cs="Arial"/>
          <w:bCs/>
          <w:iCs/>
          <w:sz w:val="20"/>
          <w:szCs w:val="20"/>
        </w:rPr>
        <w:tab/>
        <w:t xml:space="preserve">Atender a </w:t>
      </w:r>
      <w:r>
        <w:rPr>
          <w:rFonts w:ascii="Arial" w:hAnsi="Arial" w:cs="Arial"/>
          <w:bCs/>
          <w:iCs/>
          <w:sz w:val="20"/>
          <w:szCs w:val="20"/>
        </w:rPr>
        <w:t xml:space="preserve">80</w:t>
      </w:r>
      <w:r>
        <w:rPr>
          <w:rFonts w:ascii="Arial" w:hAnsi="Arial" w:cs="Arial"/>
          <w:bCs/>
          <w:iCs/>
          <w:sz w:val="20"/>
          <w:szCs w:val="20"/>
        </w:rPr>
        <w:t xml:space="preserve">% do checklist, não terá uma segunda oportunidade para apresentações dos itens, não atendidos, que será comunicado em ATA logo após a finalização da prova de conceito, passa</w:t>
      </w:r>
      <w:r>
        <w:rPr>
          <w:rFonts w:ascii="Arial" w:hAnsi="Arial" w:cs="Arial"/>
          <w:bCs/>
          <w:iCs/>
          <w:sz w:val="20"/>
          <w:szCs w:val="20"/>
        </w:rPr>
        <w:t xml:space="preserve">ndo a vez para o próximo colocado a apresentação, respeitando a todos os itens mencionados neste edital. Qualquer item não atendido no momento da apresentação, será dada como desclassificada no mesmo instante, sem a necessidade de continuar a apresentação.</w:t>
      </w:r>
      <w:r>
        <w:rPr>
          <w:rFonts w:ascii="Arial" w:hAnsi="Arial" w:cs="Arial"/>
          <w:bCs/>
          <w:iCs/>
          <w:sz w:val="20"/>
          <w:szCs w:val="20"/>
        </w:rPr>
      </w:r>
    </w:p>
    <w:p w14:paraId="027DB3B7" w14:textId="77777777">
      <w:pPr>
        <w:pStyle w:val="1120"/>
        <w:pBdr/>
        <w:spacing/>
        <w:ind/>
        <w:rPr>
          <w:rFonts w:ascii="Calibri" w:hAnsi="Calibri" w:cs="Calibri"/>
          <w:color w:val="000000"/>
          <w:sz w:val="20"/>
          <w:szCs w:val="20"/>
        </w:rPr>
      </w:pPr>
      <w:r>
        <w:rPr>
          <w:rFonts w:ascii="Calibri" w:hAnsi="Calibri" w:cs="Calibri"/>
          <w:color w:val="000000"/>
          <w:sz w:val="20"/>
          <w:szCs w:val="20"/>
        </w:rPr>
      </w:r>
      <w:r>
        <w:rPr>
          <w:rFonts w:ascii="Calibri" w:hAnsi="Calibri" w:cs="Calibri"/>
          <w:color w:val="000000"/>
          <w:sz w:val="20"/>
          <w:szCs w:val="20"/>
        </w:rPr>
      </w:r>
    </w:p>
    <w:tbl>
      <w:tblPr>
        <w:tblInd w:w="-8" w:type="dxa"/>
        <w:tblW w:w="10082" w:type="dxa"/>
        <w:tblCellMar>
          <w:left w:w="15" w:type="dxa"/>
          <w:top w:w="15" w:type="dxa"/>
          <w:right w:w="15" w:type="dxa"/>
          <w:bottom w:w="15" w:type="dxa"/>
        </w:tblCellMar>
        <w:tblBorders/>
        <w:tblCellSpacing w:w="0" w:type="dxa"/>
        <w:tblLook w:val="0000" w:firstRow="0" w:lastRow="0" w:firstColumn="0" w:lastColumn="0" w:noHBand="0" w:noVBand="0"/>
      </w:tblPr>
      <w:tblGrid>
        <w:gridCol w:w="6991"/>
        <w:gridCol w:w="1304"/>
        <w:gridCol w:w="849"/>
        <w:gridCol w:w="938"/>
      </w:tblGrid>
      <w:tr>
        <w:trPr>
          <w:tblCellSpacing w:w="0" w:type="dxa"/>
          <w:trHeight w:val="52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40736966"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Descrição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269F3DA1" w14:textId="77777777">
            <w:pPr>
              <w:pBdr/>
              <w:spacing/>
              <w:ind/>
              <w:jc w:val="center"/>
              <w:rPr>
                <w:rFonts w:ascii="Arial" w:hAnsi="Arial" w:eastAsia="Liberation Sans" w:cs="Arial"/>
              </w:rPr>
            </w:pPr>
            <w:r>
              <w:rPr>
                <w:rFonts w:ascii="Arial" w:hAnsi="Arial" w:eastAsia="Liberation Sans" w:cs="Arial"/>
                <w:b/>
                <w:bCs/>
                <w:color w:val="000000"/>
                <w:lang w:eastAsia="zh-CN" w:bidi="ar"/>
              </w:rPr>
              <w:t xml:space="preserve">Comprovar processo completo no sistema</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460C1F95"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Atende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A2465A7" w14:textId="77777777">
            <w:pPr>
              <w:pBdr/>
              <w:spacing/>
              <w:ind/>
              <w:jc w:val="center"/>
              <w:rPr>
                <w:rFonts w:ascii="Arial" w:hAnsi="Arial" w:eastAsia="Liberation Sans" w:cs="Arial"/>
              </w:rPr>
            </w:pPr>
            <w:r>
              <w:rPr>
                <w:rFonts w:ascii="Arial" w:hAnsi="Arial" w:eastAsia="Liberation Sans" w:cs="Arial"/>
                <w:b/>
                <w:bCs/>
                <w:color w:val="000000"/>
                <w:lang w:val="en-US" w:eastAsia="zh-CN" w:bidi="ar"/>
              </w:rPr>
              <w:t xml:space="preserve">N/Atende</w:t>
            </w:r>
            <w:r>
              <w:rPr>
                <w:rFonts w:ascii="Arial" w:hAnsi="Arial" w:eastAsia="Liberation Sans" w:cs="Arial"/>
              </w:rPr>
            </w:r>
          </w:p>
        </w:tc>
      </w:tr>
      <w:tr>
        <w:trPr>
          <w:tblCellSpacing w:w="0" w:type="dxa"/>
          <w:trHeight w:val="108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957E21B" w14:textId="77777777">
            <w:pPr>
              <w:pBdr/>
              <w:spacing/>
              <w:ind/>
              <w:rPr>
                <w:rFonts w:ascii="Arial" w:hAnsi="Arial" w:eastAsia="Liberation Sans" w:cs="Arial"/>
              </w:rPr>
            </w:pPr>
            <w:r>
              <w:rPr>
                <w:rFonts w:ascii="Arial" w:hAnsi="Arial" w:eastAsia="Liberation Sans" w:cs="Arial"/>
                <w:color w:val="000000"/>
                <w:lang w:eastAsia="zh-CN" w:bidi="ar"/>
              </w:rPr>
              <w:t xml:space="preserve">Cadastrar um gestor on-line e real time, det</w:t>
            </w:r>
            <w:r>
              <w:rPr>
                <w:rFonts w:ascii="Arial" w:hAnsi="Arial" w:eastAsia="Liberation Sans" w:cs="Arial"/>
                <w:color w:val="000000"/>
                <w:lang w:eastAsia="zh-CN" w:bidi="ar"/>
              </w:rPr>
              <w:t xml:space="preserve">erminando e atribuindo um centro de custo vinculado à operacionalização do Benefício Eventual – Auxílio Natalidade, depois acessar ao sistema com os dados cadastrados, comprovando acesso, incluindo limite, bloqueando usuário e demonstrando registro em log.</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B89E1D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53A9487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204D33B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6B8AFA5C" w14:textId="77777777">
            <w:pPr>
              <w:pBdr/>
              <w:spacing/>
              <w:ind/>
              <w:rPr>
                <w:rFonts w:ascii="Arial" w:hAnsi="Arial" w:eastAsia="Liberation Sans" w:cs="Arial"/>
              </w:rPr>
            </w:pPr>
            <w:r>
              <w:rPr>
                <w:rFonts w:ascii="Arial" w:hAnsi="Arial" w:eastAsia="Liberation Sans" w:cs="Arial"/>
                <w:color w:val="000000"/>
                <w:lang w:eastAsia="zh-CN" w:bidi="ar"/>
              </w:rPr>
              <w:t xml:space="preserve">Ser acessível via WEB (on-line), 24 horas por dia, 7 dias por semana, em navegadores padrão de mercado como Mozilla Firefox ou Google Chrome.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4DB384E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7AFF21F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28C788A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3F3A9342" w14:textId="77777777">
            <w:pPr>
              <w:pBdr/>
              <w:spacing/>
              <w:ind/>
              <w:rPr>
                <w:rFonts w:ascii="Arial" w:hAnsi="Arial" w:eastAsia="Liberation Sans" w:cs="Arial"/>
              </w:rPr>
            </w:pPr>
            <w:r>
              <w:rPr>
                <w:rFonts w:ascii="Arial" w:hAnsi="Arial" w:eastAsia="Liberation Sans" w:cs="Arial"/>
                <w:color w:val="000000"/>
                <w:lang w:eastAsia="zh-CN" w:bidi="ar"/>
              </w:rPr>
              <w:t xml:space="preserve">O sistema tecnológico deverá suportar cadastramento de usuários distribuídos em níveis hierárquicos conforme funções da Contratante, com login e senha pessoal e autenticação biométrica facial.</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45302B4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63F86C7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4C66549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01ACE0F" w14:textId="77777777">
            <w:pPr>
              <w:pBdr/>
              <w:spacing/>
              <w:ind/>
              <w:rPr>
                <w:rFonts w:ascii="Arial" w:hAnsi="Arial" w:eastAsia="Liberation Sans" w:cs="Arial"/>
              </w:rPr>
            </w:pPr>
            <w:r>
              <w:rPr>
                <w:rFonts w:ascii="Arial" w:hAnsi="Arial" w:eastAsia="Liberation Sans" w:cs="Arial"/>
                <w:color w:val="000000"/>
                <w:lang w:eastAsia="zh-CN" w:bidi="ar"/>
              </w:rPr>
              <w:t xml:space="preserve">Em caso de perda, extravio, furto ou roubo do cartão do Benefício Eventual – Auxílio Natalidade, a contratada deverá possibilitar cancelamento imediato e teste no POS com bloqueio on-line.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2F60007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0FDFDF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B03C8E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30E17B0" w14:textId="77777777">
            <w:pPr>
              <w:pBdr/>
              <w:spacing/>
              <w:ind/>
              <w:rPr>
                <w:rFonts w:ascii="Arial" w:hAnsi="Arial" w:eastAsia="Liberation Sans" w:cs="Arial"/>
              </w:rPr>
            </w:pPr>
            <w:r>
              <w:rPr>
                <w:rFonts w:ascii="Arial" w:hAnsi="Arial" w:eastAsia="Liberation Sans" w:cs="Arial"/>
                <w:color w:val="000000"/>
                <w:lang w:eastAsia="zh-CN" w:bidi="ar"/>
              </w:rPr>
              <w:t xml:space="preserve">Comprovação dos itens de segurança mínimos exigidos para execução do objeto contratado, mediante sistema, documentos e certificados.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EAF8DF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FE5D3B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EF8A41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BBC47A8" w14:textId="77777777">
            <w:pPr>
              <w:pBdr/>
              <w:spacing/>
              <w:ind/>
              <w:rPr>
                <w:rFonts w:ascii="Arial" w:hAnsi="Arial" w:eastAsia="Liberation Sans" w:cs="Arial"/>
              </w:rPr>
            </w:pPr>
            <w:r>
              <w:rPr>
                <w:rFonts w:ascii="Arial" w:hAnsi="Arial" w:eastAsia="Liberation Sans" w:cs="Arial"/>
                <w:color w:val="000000"/>
                <w:lang w:eastAsia="zh-CN" w:bidi="ar"/>
              </w:rPr>
              <w:t xml:space="preserve">O sistema deverá utilizar algoritmos de IA para cruzamento de dados e emissão de alertas de inconsistências relacionadas à execução dos créditos do Benefício Eventual.</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6115EC9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21235B8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647AA2E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7C41B57C" w14:textId="77777777">
            <w:pPr>
              <w:pBdr/>
              <w:spacing/>
              <w:ind/>
              <w:rPr>
                <w:rFonts w:ascii="Arial" w:hAnsi="Arial" w:eastAsia="Liberation Sans" w:cs="Arial"/>
              </w:rPr>
            </w:pPr>
            <w:r>
              <w:rPr>
                <w:rFonts w:ascii="Arial" w:hAnsi="Arial" w:eastAsia="Liberation Sans" w:cs="Arial"/>
                <w:color w:val="000000"/>
                <w:lang w:eastAsia="zh-CN" w:bidi="ar"/>
              </w:rPr>
              <w:t xml:space="preserve">Impressão do saldo disponível no comprovante de venda após cada transação realizada com cartão do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7FDC520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4244AE3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FDD3B3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04E1661" w14:textId="77777777">
            <w:pPr>
              <w:pBdr/>
              <w:spacing/>
              <w:ind/>
              <w:rPr>
                <w:rFonts w:ascii="Arial" w:hAnsi="Arial" w:eastAsia="Liberation Sans" w:cs="Arial"/>
              </w:rPr>
            </w:pPr>
            <w:r>
              <w:rPr>
                <w:rFonts w:ascii="Arial" w:hAnsi="Arial" w:eastAsia="Liberation Sans" w:cs="Arial"/>
                <w:color w:val="000000"/>
                <w:lang w:eastAsia="zh-CN" w:bidi="ar"/>
              </w:rPr>
              <w:t xml:space="preserve">Disponibilização de comprovante digital equivalente ao impresso.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1EBD531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6028861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0DAE300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20024A07" w14:textId="77777777">
            <w:pPr>
              <w:pBdr/>
              <w:spacing/>
              <w:ind/>
              <w:rPr>
                <w:rFonts w:ascii="Arial" w:hAnsi="Arial" w:eastAsia="Liberation Sans" w:cs="Arial"/>
              </w:rPr>
            </w:pPr>
            <w:r>
              <w:rPr>
                <w:rFonts w:ascii="Arial" w:hAnsi="Arial" w:eastAsia="Liberation Sans" w:cs="Arial"/>
                <w:color w:val="000000"/>
                <w:lang w:eastAsia="zh-CN" w:bidi="ar"/>
              </w:rPr>
              <w:t xml:space="preserve">Serviço via web para consulta de saldo, novos créditos, extrato com identificação de estabelecimento e data de utilização.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12DEA50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26D665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39FAFF6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F88558B" w14:textId="77777777">
            <w:pPr>
              <w:pBdr/>
              <w:spacing/>
              <w:ind/>
              <w:rPr>
                <w:rFonts w:ascii="Arial" w:hAnsi="Arial" w:eastAsia="Liberation Sans" w:cs="Arial"/>
              </w:rPr>
            </w:pPr>
            <w:r>
              <w:rPr>
                <w:rFonts w:ascii="Arial" w:hAnsi="Arial" w:eastAsia="Liberation Sans" w:cs="Arial"/>
                <w:color w:val="000000"/>
                <w:lang w:eastAsia="zh-CN" w:bidi="ar"/>
              </w:rPr>
              <w:t xml:space="preserve">Central de atendimento telefônico e via internet 24h para usuários do Benefício Eventual – Auxílio Natalidade.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0C468C5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982AD1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53709C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26394727" w14:textId="77777777">
            <w:pPr>
              <w:pBdr/>
              <w:spacing/>
              <w:ind/>
              <w:rPr>
                <w:rFonts w:ascii="Arial" w:hAnsi="Arial" w:eastAsia="Liberation Sans" w:cs="Arial"/>
              </w:rPr>
            </w:pPr>
            <w:r>
              <w:rPr>
                <w:rFonts w:ascii="Arial" w:hAnsi="Arial" w:eastAsia="Liberation Sans" w:cs="Arial"/>
                <w:color w:val="000000"/>
                <w:lang w:eastAsia="zh-CN" w:bidi="ar"/>
              </w:rPr>
              <w:t xml:space="preserve">Aplicativo compatível com IOS e Android.</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7E6B5B5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779CE17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882749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34D0B86A" w14:textId="77777777">
            <w:pPr>
              <w:pBdr/>
              <w:spacing/>
              <w:ind/>
              <w:rPr>
                <w:rFonts w:ascii="Arial" w:hAnsi="Arial" w:eastAsia="Liberation Sans" w:cs="Arial"/>
              </w:rPr>
            </w:pPr>
            <w:r>
              <w:rPr>
                <w:rFonts w:ascii="Arial" w:hAnsi="Arial" w:eastAsia="Liberation Sans" w:cs="Arial"/>
                <w:color w:val="000000"/>
                <w:lang w:eastAsia="zh-CN" w:bidi="ar"/>
              </w:rPr>
              <w:t xml:space="preserve">Cartões personalizados com identificação institucional do programa do Benefício Eventual – Auxílio Natalidade, entregues bloqueados.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463F88F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E75FFA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FDDDC5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2F0C5A46" w14:textId="77777777">
            <w:pPr>
              <w:pBdr/>
              <w:spacing/>
              <w:ind/>
              <w:rPr>
                <w:rFonts w:ascii="Arial" w:hAnsi="Arial" w:eastAsia="Liberation Sans" w:cs="Arial"/>
              </w:rPr>
            </w:pPr>
            <w:r>
              <w:rPr>
                <w:rFonts w:ascii="Arial" w:hAnsi="Arial" w:eastAsia="Liberation Sans" w:cs="Arial"/>
                <w:color w:val="000000"/>
                <w:lang w:eastAsia="zh-CN" w:bidi="ar"/>
              </w:rPr>
              <w:t xml:space="preserve">Identificação diferenciada de estabelecimentos vinculados a agricultores familiares, quando aplicável à execução do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07EFEDA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A7BBD7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1820236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645033DE" w14:textId="77777777">
            <w:pPr>
              <w:pBdr/>
              <w:spacing/>
              <w:ind/>
              <w:rPr>
                <w:rFonts w:ascii="Arial" w:hAnsi="Arial" w:eastAsia="Liberation Sans" w:cs="Arial"/>
              </w:rPr>
            </w:pPr>
            <w:r>
              <w:rPr>
                <w:rFonts w:ascii="Arial" w:hAnsi="Arial" w:eastAsia="Liberation Sans" w:cs="Arial"/>
                <w:color w:val="000000"/>
                <w:lang w:eastAsia="zh-CN" w:bidi="ar"/>
              </w:rPr>
              <w:t xml:space="preserve">Gravação de senha na primeira transação no POS, com teste de validação de erro e acerto.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73E2C56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5DBC06F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1164FA7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AB917F1"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reset de senha com novo teste em transação.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49D84BD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9E3834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82F14E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0EC9D50" w14:textId="77777777">
            <w:pPr>
              <w:pBdr/>
              <w:spacing/>
              <w:ind/>
              <w:rPr>
                <w:rFonts w:ascii="Arial" w:hAnsi="Arial" w:eastAsia="Liberation Sans" w:cs="Arial"/>
              </w:rPr>
            </w:pPr>
            <w:r>
              <w:rPr>
                <w:rFonts w:ascii="Arial" w:hAnsi="Arial" w:eastAsia="Liberation Sans" w:cs="Arial"/>
                <w:color w:val="000000"/>
                <w:lang w:eastAsia="zh-CN" w:bidi="ar"/>
              </w:rPr>
              <w:t xml:space="preserve">Portal para estabelecimentos credenciados inserirem valores mínimos, máximos e produtos vinculados ao benefício.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605BCE9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3D11707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6114578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FA9B50C" w14:textId="77777777">
            <w:pPr>
              <w:pBdr/>
              <w:spacing/>
              <w:ind/>
              <w:rPr>
                <w:rFonts w:ascii="Arial" w:hAnsi="Arial" w:eastAsia="Liberation Sans" w:cs="Arial"/>
              </w:rPr>
            </w:pPr>
            <w:r>
              <w:rPr>
                <w:rFonts w:ascii="Arial" w:hAnsi="Arial" w:eastAsia="Liberation Sans" w:cs="Arial"/>
                <w:color w:val="000000"/>
                <w:lang w:eastAsia="zh-CN" w:bidi="ar"/>
              </w:rPr>
              <w:t xml:space="preserve">Aplicativo para pesquisa de preços pelos beneficiários.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0C93827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201322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2ECCB1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67C34EA6" w14:textId="77777777">
            <w:pPr>
              <w:pBdr/>
              <w:spacing/>
              <w:ind/>
              <w:rPr>
                <w:rFonts w:ascii="Arial" w:hAnsi="Arial" w:eastAsia="Liberation Sans" w:cs="Arial"/>
              </w:rPr>
            </w:pPr>
            <w:r>
              <w:rPr>
                <w:rFonts w:ascii="Arial" w:hAnsi="Arial" w:eastAsia="Liberation Sans" w:cs="Arial"/>
                <w:color w:val="000000"/>
                <w:lang w:eastAsia="zh-CN" w:bidi="ar"/>
              </w:rPr>
              <w:t xml:space="preserve">Pesquisa de marcas, valores mínimos e máximos de itens vinculados ao Auxílio Natalidade.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4AAD152A"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6D11C47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DAA419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0455BDA2" w14:textId="77777777">
            <w:pPr>
              <w:pBdr/>
              <w:spacing/>
              <w:ind/>
              <w:rPr>
                <w:rFonts w:ascii="Arial" w:hAnsi="Arial" w:eastAsia="Liberation Sans" w:cs="Arial"/>
              </w:rPr>
            </w:pPr>
            <w:r>
              <w:rPr>
                <w:rFonts w:ascii="Arial" w:hAnsi="Arial" w:eastAsia="Liberation Sans" w:cs="Arial"/>
                <w:color w:val="000000"/>
                <w:lang w:eastAsia="zh-CN" w:bidi="ar"/>
              </w:rPr>
              <w:t xml:space="preserve">Exibição de dados do estabelecimento (CNPJ, logradouro, cidade, nome).</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685895F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297EF63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06B82D4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312B298"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envio e salvamento do comprovante da transação no celular.</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0F5A546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7659FF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30B642F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54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0B27C812"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localização por aproximação e traçado de rota até estabelecimento credenciado.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1033213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48D600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0EA9660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27FDBA6E" w14:textId="77777777">
            <w:pPr>
              <w:pBdr/>
              <w:spacing/>
              <w:ind/>
              <w:rPr>
                <w:rFonts w:ascii="Arial" w:hAnsi="Arial" w:eastAsia="Liberation Sans" w:cs="Arial"/>
              </w:rPr>
            </w:pPr>
            <w:r>
              <w:rPr>
                <w:rFonts w:ascii="Arial" w:hAnsi="Arial" w:eastAsia="Liberation Sans" w:cs="Arial"/>
                <w:color w:val="000000"/>
                <w:lang w:eastAsia="zh-CN" w:bidi="ar"/>
              </w:rPr>
              <w:t xml:space="preserve">Informação do valor do último benefício creditado.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4BE5C6C2"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4906CE2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25207C0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44570656"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bloqueio do cartão.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99AD80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245F3727"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3D3912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6DEDFE44" w14:textId="77777777">
            <w:pPr>
              <w:pBdr/>
              <w:spacing/>
              <w:ind/>
              <w:rPr>
                <w:rFonts w:ascii="Arial" w:hAnsi="Arial" w:eastAsia="Liberation Sans" w:cs="Arial"/>
              </w:rPr>
            </w:pPr>
            <w:r>
              <w:rPr>
                <w:rFonts w:ascii="Arial" w:hAnsi="Arial" w:eastAsia="Liberation Sans" w:cs="Arial"/>
                <w:color w:val="000000"/>
                <w:lang w:eastAsia="zh-CN" w:bidi="ar"/>
              </w:rPr>
              <w:t xml:space="preserve">Função de alteração de senha com teste em transação.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E4060F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66D439F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6C1BEC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044EDB79" w14:textId="77777777">
            <w:pPr>
              <w:pBdr/>
              <w:spacing/>
              <w:ind/>
              <w:rPr>
                <w:rFonts w:ascii="Arial" w:hAnsi="Arial" w:eastAsia="Liberation Sans" w:cs="Arial"/>
              </w:rPr>
            </w:pPr>
            <w:r>
              <w:rPr>
                <w:rFonts w:ascii="Arial" w:hAnsi="Arial" w:eastAsia="Liberation Sans" w:cs="Arial"/>
                <w:color w:val="000000"/>
                <w:lang w:val="en-US" w:eastAsia="zh-CN" w:bidi="ar"/>
              </w:rPr>
              <w:t xml:space="preserve">Consulta de saldo diário.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604664C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7963E5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29E288C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57967AE" w14:textId="77777777">
            <w:pPr>
              <w:pBdr/>
              <w:spacing/>
              <w:ind/>
              <w:rPr>
                <w:rFonts w:ascii="Arial" w:hAnsi="Arial" w:eastAsia="Liberation Sans" w:cs="Arial"/>
              </w:rPr>
            </w:pPr>
            <w:r>
              <w:rPr>
                <w:rFonts w:ascii="Arial" w:hAnsi="Arial" w:eastAsia="Liberation Sans" w:cs="Arial"/>
                <w:color w:val="000000"/>
                <w:lang w:eastAsia="zh-CN" w:bidi="ar"/>
              </w:rPr>
              <w:t xml:space="preserve">Solicitação de 2ª via do cartão pelo aplicativo.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2D8B4FA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547BCAE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2C22F45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394632FC" w14:textId="77777777">
            <w:pPr>
              <w:pBdr/>
              <w:spacing/>
              <w:ind/>
              <w:rPr>
                <w:rFonts w:ascii="Arial" w:hAnsi="Arial" w:eastAsia="Liberation Sans" w:cs="Arial"/>
              </w:rPr>
            </w:pPr>
            <w:r>
              <w:rPr>
                <w:rFonts w:ascii="Arial" w:hAnsi="Arial" w:eastAsia="Liberation Sans" w:cs="Arial"/>
                <w:color w:val="000000"/>
                <w:lang w:eastAsia="zh-CN" w:bidi="ar"/>
              </w:rPr>
              <w:t xml:space="preserve">Informações completas do estabelecimento (nome, endereço, horário).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51EBF8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7A62038"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B2EC21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2E9595C7" w14:textId="77777777">
            <w:pPr>
              <w:pBdr/>
              <w:spacing/>
              <w:ind/>
              <w:rPr>
                <w:rFonts w:ascii="Arial" w:hAnsi="Arial" w:eastAsia="Liberation Sans" w:cs="Arial"/>
              </w:rPr>
            </w:pPr>
            <w:r>
              <w:rPr>
                <w:rFonts w:ascii="Arial" w:hAnsi="Arial" w:eastAsia="Liberation Sans" w:cs="Arial"/>
                <w:color w:val="000000"/>
                <w:lang w:eastAsia="zh-CN" w:bidi="ar"/>
              </w:rPr>
              <w:t xml:space="preserve">Informação de localização do estabelecimento.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3B9FCE7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7CC120B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1810289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75E579F7" w14:textId="77777777">
            <w:pPr>
              <w:pBdr/>
              <w:spacing/>
              <w:ind/>
              <w:rPr>
                <w:rFonts w:ascii="Arial" w:hAnsi="Arial" w:eastAsia="Liberation Sans" w:cs="Arial"/>
              </w:rPr>
            </w:pPr>
            <w:r>
              <w:rPr>
                <w:rFonts w:ascii="Arial" w:hAnsi="Arial" w:eastAsia="Liberation Sans" w:cs="Arial"/>
                <w:color w:val="000000"/>
                <w:lang w:eastAsia="zh-CN" w:bidi="ar"/>
              </w:rPr>
              <w:t xml:space="preserve">Visualização de saldo e transações realizadas no aplicativo.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7F84F3A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2A8583A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F175F2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B038915" w14:textId="77777777">
            <w:pPr>
              <w:pBdr/>
              <w:spacing/>
              <w:ind/>
              <w:rPr>
                <w:rFonts w:ascii="Arial" w:hAnsi="Arial" w:eastAsia="Liberation Sans" w:cs="Arial"/>
              </w:rPr>
            </w:pPr>
            <w:r>
              <w:rPr>
                <w:rFonts w:ascii="Arial" w:hAnsi="Arial" w:eastAsia="Liberation Sans" w:cs="Arial"/>
                <w:color w:val="000000"/>
                <w:lang w:eastAsia="zh-CN" w:bidi="ar"/>
              </w:rPr>
              <w:t xml:space="preserve">Suporte técnico via 0800 com atendimento 24h aos beneficiários e credenciados.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31AECA6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997170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45C147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82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7B172D2" w14:textId="77777777">
            <w:pPr>
              <w:pBdr/>
              <w:spacing/>
              <w:ind/>
              <w:rPr>
                <w:rFonts w:ascii="Arial" w:hAnsi="Arial" w:eastAsia="Liberation Sans" w:cs="Arial"/>
              </w:rPr>
            </w:pPr>
            <w:r>
              <w:rPr>
                <w:rFonts w:ascii="Arial" w:hAnsi="Arial" w:eastAsia="Liberation Sans" w:cs="Arial"/>
                <w:color w:val="000000"/>
                <w:lang w:eastAsia="zh-CN" w:bidi="ar"/>
              </w:rPr>
              <w:t xml:space="preserve">Sistema deverá permitir consulta de beneficiários ativos, estabelecimentos credenciados ativos e locais de utilização dos créditos do Benefício Eventual – Auxílio Natalidade, com extração de relatórios gerenciais.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0D8E9DD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334AC3E9"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64A83F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6594B90"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atualização em lote de usuários.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3AB4C55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4403F911"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6776E62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7CD018B8"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logs do sistema.</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65150E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0899130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37B78A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DB2568D"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créditos inseridos por período.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1DAF590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6AF8554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53EBC9C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49E8F53"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créditos inseridos por usuário.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21ED21D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21391CC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271139E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5DCC07D"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consumo por usuário com pesquisa por CPF/nome e período.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10D15806"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4A2AA523"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610E0A1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51C6C89A" w14:textId="77777777">
            <w:pPr>
              <w:pBdr/>
              <w:spacing/>
              <w:ind/>
              <w:rPr>
                <w:rFonts w:ascii="Arial" w:hAnsi="Arial" w:eastAsia="Liberation Sans" w:cs="Arial"/>
              </w:rPr>
            </w:pPr>
            <w:r>
              <w:rPr>
                <w:rFonts w:ascii="Arial" w:hAnsi="Arial" w:eastAsia="Liberation Sans" w:cs="Arial"/>
                <w:color w:val="000000"/>
                <w:lang w:val="en-US" w:eastAsia="zh-CN" w:bidi="ar"/>
              </w:rPr>
              <w:t xml:space="preserve">Relatório de transações bloqueadas.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520A8CC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79C82135"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0DAEE9D0"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377A6263" w14:textId="77777777">
            <w:pPr>
              <w:pBdr/>
              <w:spacing/>
              <w:ind/>
              <w:rPr>
                <w:rFonts w:ascii="Arial" w:hAnsi="Arial" w:eastAsia="Liberation Sans" w:cs="Arial"/>
              </w:rPr>
            </w:pPr>
            <w:r>
              <w:rPr>
                <w:rFonts w:ascii="Arial" w:hAnsi="Arial" w:eastAsia="Liberation Sans" w:cs="Arial"/>
                <w:color w:val="000000"/>
                <w:lang w:val="en-US" w:eastAsia="zh-CN" w:bidi="ar"/>
              </w:rPr>
              <w:t xml:space="preserve">Relatório de cartões solicitados.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6D1D493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178E368C"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45CF46A4"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16358AB6" w14:textId="77777777">
            <w:pPr>
              <w:pBdr/>
              <w:spacing/>
              <w:ind/>
              <w:rPr>
                <w:rFonts w:ascii="Arial" w:hAnsi="Arial" w:eastAsia="Liberation Sans" w:cs="Arial"/>
              </w:rPr>
            </w:pPr>
            <w:r>
              <w:rPr>
                <w:rFonts w:ascii="Arial" w:hAnsi="Arial" w:eastAsia="Liberation Sans" w:cs="Arial"/>
                <w:color w:val="000000"/>
                <w:lang w:eastAsia="zh-CN" w:bidi="ar"/>
              </w:rPr>
              <w:t xml:space="preserve">Relatório de 2ª via de cartões.</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1F1719DF"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54484AD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46CEBB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r>
        <w:trPr>
          <w:tblCellSpacing w:w="0" w:type="dxa"/>
          <w:trHeight w:val="300"/>
        </w:trPr>
        <w:tc>
          <w:tcPr>
            <w:tcBorders>
              <w:top w:val="single" w:color="000000" w:sz="6" w:space="0"/>
              <w:left w:val="single" w:color="000000" w:sz="6" w:space="0"/>
              <w:bottom w:val="single" w:color="000000" w:sz="6" w:space="0"/>
              <w:right w:val="single" w:color="000000" w:sz="6" w:space="0"/>
            </w:tcBorders>
            <w:tcW w:w="6991" w:type="dxa"/>
            <w:vAlign w:val="center"/>
            <w:textDirection w:val="lrTb"/>
            <w:noWrap w:val="false"/>
          </w:tcPr>
          <w:p w14:paraId="34D8A461" w14:textId="77777777">
            <w:pPr>
              <w:pBdr/>
              <w:spacing/>
              <w:ind/>
              <w:rPr>
                <w:rFonts w:ascii="Arial" w:hAnsi="Arial" w:eastAsia="Liberation Sans" w:cs="Arial"/>
              </w:rPr>
            </w:pPr>
            <w:r>
              <w:rPr>
                <w:rFonts w:ascii="Arial" w:hAnsi="Arial" w:eastAsia="Liberation Sans" w:cs="Arial"/>
                <w:color w:val="000000"/>
                <w:lang w:eastAsia="zh-CN" w:bidi="ar"/>
              </w:rPr>
              <w:t xml:space="preserve">Funcionalidade de bloqueio e desbloqueio de rede com teste prático.</w:t>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1304" w:type="dxa"/>
            <w:vAlign w:val="center"/>
            <w:textDirection w:val="lrTb"/>
            <w:noWrap w:val="false"/>
          </w:tcPr>
          <w:p w14:paraId="7626FDBE"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849" w:type="dxa"/>
            <w:vAlign w:val="center"/>
            <w:textDirection w:val="lrTb"/>
            <w:noWrap w:val="false"/>
          </w:tcPr>
          <w:p w14:paraId="50E1606D"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c>
          <w:tcPr>
            <w:tcBorders>
              <w:top w:val="single" w:color="000000" w:sz="6" w:space="0"/>
              <w:left w:val="single" w:color="000000" w:sz="6" w:space="0"/>
              <w:bottom w:val="single" w:color="000000" w:sz="6" w:space="0"/>
              <w:right w:val="single" w:color="000000" w:sz="6" w:space="0"/>
            </w:tcBorders>
            <w:tcW w:w="938" w:type="dxa"/>
            <w:vAlign w:val="center"/>
            <w:textDirection w:val="lrTb"/>
            <w:noWrap w:val="false"/>
          </w:tcPr>
          <w:p w14:paraId="713D1FEB" w14:textId="77777777">
            <w:pPr>
              <w:pBdr/>
              <w:spacing/>
              <w:ind/>
              <w:rPr>
                <w:rFonts w:ascii="Arial" w:hAnsi="Arial" w:eastAsia="Liberation Sans" w:cs="Arial"/>
              </w:rPr>
            </w:pPr>
            <w:r>
              <w:rPr>
                <w:rFonts w:ascii="Arial" w:hAnsi="Arial" w:eastAsia="Liberation Sans" w:cs="Arial"/>
              </w:rPr>
            </w:r>
            <w:r>
              <w:rPr>
                <w:rFonts w:ascii="Arial" w:hAnsi="Arial" w:eastAsia="Liberation Sans" w:cs="Arial"/>
              </w:rPr>
            </w:r>
          </w:p>
        </w:tc>
      </w:tr>
    </w:tbl>
    <w:p w14:paraId="4C3E5BE8" w14:textId="77777777">
      <w:pPr>
        <w:pBdr/>
        <w:spacing w:line="360" w:lineRule="auto"/>
        <w:ind w:right="-143"/>
        <w:jc w:val="both"/>
        <w:rPr>
          <w:rFonts w:ascii="Arial" w:hAnsi="Arial" w:cs="Arial"/>
          <w:b/>
          <w:bCs/>
        </w:rPr>
      </w:pPr>
      <w:r>
        <w:rPr>
          <w:rFonts w:ascii="Arial" w:hAnsi="Arial" w:cs="Arial"/>
          <w:b/>
          <w:bCs/>
        </w:rPr>
      </w:r>
      <w:r>
        <w:rPr>
          <w:rFonts w:ascii="Arial" w:hAnsi="Arial" w:cs="Arial"/>
          <w:b/>
          <w:bCs/>
        </w:rPr>
      </w:r>
    </w:p>
    <w:p w14:paraId="0F58B524" w14:textId="41DA81A1">
      <w:pPr>
        <w:pBdr/>
        <w:spacing/>
        <w:ind w:right="-143"/>
        <w:jc w:val="both"/>
        <w:rPr>
          <w:rFonts w:ascii="Arial" w:hAnsi="Arial" w:cs="Arial"/>
        </w:rPr>
      </w:pPr>
      <w:r>
        <w:rPr>
          <w:rFonts w:ascii="Arial" w:hAnsi="Arial" w:cs="Arial"/>
        </w:rPr>
        <w:t xml:space="preserve">A empresa ganha</w:t>
      </w:r>
      <w:r>
        <w:rPr>
          <w:rFonts w:ascii="Arial" w:hAnsi="Arial" w:cs="Arial"/>
        </w:rPr>
        <w:t xml:space="preserve">dora deverá efetuar APRESENTAÇÃO TÉCNICA do sistema de gerenciamento, antes da assinatura do contrato, demonstrando sua funcionalidade de modo que o contratante possa verificar se o sistema opera conforme solicitado sob pena de desclassificação do certame;</w:t>
      </w:r>
      <w:r>
        <w:rPr>
          <w:rFonts w:ascii="Arial" w:hAnsi="Arial" w:cs="Arial"/>
        </w:rPr>
      </w:r>
    </w:p>
    <w:p w14:paraId="5929E218" w14:textId="77777777">
      <w:pPr>
        <w:pBdr/>
        <w:spacing/>
        <w:ind w:left="284"/>
        <w:jc w:val="both"/>
        <w:rPr>
          <w:rFonts w:ascii="Arial" w:cs="Arial"/>
        </w:rPr>
      </w:pPr>
      <w:r>
        <w:rPr>
          <w:rFonts w:ascii="Arial" w:cs="Arial"/>
        </w:rPr>
      </w:r>
      <w:r>
        <w:rPr>
          <w:rFonts w:ascii="Arial" w:cs="Arial"/>
        </w:rPr>
      </w:r>
    </w:p>
    <w:p w14:paraId="60133716" w14:textId="77777777">
      <w:pPr>
        <w:pStyle w:val="1120"/>
        <w:pBdr/>
        <w:spacing/>
        <w:ind/>
        <w:rPr>
          <w:rFonts w:ascii="Calibri" w:hAnsi="Calibri" w:cs="Calibri"/>
          <w:color w:val="000000"/>
          <w:sz w:val="20"/>
          <w:szCs w:val="20"/>
        </w:rPr>
      </w:pPr>
      <w:r>
        <w:rPr>
          <w:rFonts w:ascii="Calibri" w:hAnsi="Calibri" w:cs="Calibri"/>
          <w:color w:val="000000"/>
          <w:sz w:val="20"/>
          <w:szCs w:val="20"/>
        </w:rPr>
      </w:r>
      <w:r>
        <w:rPr>
          <w:rFonts w:ascii="Calibri" w:hAnsi="Calibri" w:cs="Calibri"/>
          <w:color w:val="000000"/>
          <w:sz w:val="20"/>
          <w:szCs w:val="20"/>
        </w:rPr>
      </w:r>
    </w:p>
    <w:p w14:paraId="7020C89B" w14:textId="77777777">
      <w:pPr>
        <w:pBdr/>
        <w:spacing/>
        <w:ind/>
        <w:jc w:val="both"/>
        <w:rPr/>
      </w:pPr>
      <w:r/>
      <w:r/>
    </w:p>
    <w:sectPr>
      <w:headerReference w:type="default" r:id="rId9"/>
      <w:footerReference w:type="default" r:id="rId10"/>
      <w:footnotePr/>
      <w:endnotePr/>
      <w:type w:val="continuous"/>
      <w:pgSz w:h="16838" w:orient="portrait" w:w="11906"/>
      <w:pgMar w:top="1134" w:right="709" w:bottom="777" w:left="1134" w:header="284" w:footer="284"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21013BF2" w14:textId="77777777">
      <w:pPr>
        <w:pBdr/>
        <w:spacing/>
        <w:ind/>
        <w:rPr/>
      </w:pPr>
      <w:r>
        <w:separator/>
      </w:r>
      <w:r/>
    </w:p>
  </w:endnote>
  <w:endnote w:type="continuationSeparator" w:id="0">
    <w:p w14:paraId="19776C18"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NSimSun">
    <w:panose1 w:val="02010609030101010101"/>
  </w:font>
  <w:font w:name="Aptos Display">
    <w:panose1 w:val="05040102010807070707"/>
  </w:font>
  <w:font w:name="Calibri">
    <w:panose1 w:val="020F0502020204030204"/>
  </w:font>
  <w:font w:name="Carlito">
    <w:panose1 w:val="020F0502020204030204"/>
  </w:font>
  <w:font w:name="Wingdings">
    <w:panose1 w:val="05000000000000000000"/>
  </w:font>
  <w:font w:name="Liberation Sans">
    <w:panose1 w:val="020B0604020202020204"/>
  </w:font>
  <w:font w:name="Courier New">
    <w:panose1 w:val="02070309020205020404"/>
  </w:font>
  <w:font w:name="Tahoma">
    <w:panose1 w:val="020B0604030504040204"/>
  </w:font>
  <w:font w:name="MS Mincho">
    <w:panose1 w:val="02020503050405090304"/>
  </w:font>
  <w:font w:name="Segoe UI">
    <w:panose1 w:val="020B0502040204020203"/>
  </w:font>
  <w:font w:name="Ecofont_Spranq_eco_Sans">
    <w:panose1 w:val="05040102010807070707"/>
  </w:font>
  <w:font w:name="Calibri Light">
    <w:panose1 w:val="020F0302020204030204"/>
  </w:font>
  <w:font w:name="MS Gothic">
    <w:panose1 w:val="020B0609070205080204"/>
  </w:font>
  <w:font w:name="Liberation Serif">
    <w:panose1 w:val="02020603050405020304"/>
  </w:font>
  <w:font w:name="Arial">
    <w:panose1 w:val="020B0604020202020204"/>
  </w:font>
  <w:font w:name="Helvetica">
    <w:panose1 w:val="020B0604020202020204"/>
  </w:font>
  <w:font w:name="SimSun">
    <w:panose1 w:val="02010600030101010101"/>
  </w:font>
  <w:font w:name="Times New Roman">
    <w:panose1 w:val="02020603050405020304"/>
  </w:font>
  <w:font w:name="Microsoft YaHei">
    <w:panose1 w:val="020B0503020204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B483CD2" w14:textId="4C4751A5">
    <w:pPr>
      <w:pStyle w:val="915"/>
      <w:pBdr/>
      <w:spacing/>
      <w:ind/>
      <w:rPr>
        <w:lang w:val="pt-BR"/>
      </w:rPr>
    </w:pPr>
    <w:r>
      <w:rPr>
        <w:lang w:val="pt-BR"/>
      </w:rPr>
      <mc:AlternateContent>
        <mc:Choice Requires="wpg">
          <w:drawing>
            <wp:anchor xmlns:wp="http://schemas.openxmlformats.org/drawingml/2006/wordprocessingDrawing" xmlns:wp14="http://schemas.microsoft.com/office/word/2010/wordprocessingDrawing" distT="72390" distB="72390" distL="72390" distR="72390" simplePos="0" relativeHeight="251659264" behindDoc="0" locked="0" layoutInCell="0" allowOverlap="1">
              <wp:simplePos x="0" y="0"/>
              <wp:positionH relativeFrom="margin">
                <wp:posOffset>6029960</wp:posOffset>
              </wp:positionH>
              <wp:positionV relativeFrom="paragraph">
                <wp:posOffset>104140</wp:posOffset>
              </wp:positionV>
              <wp:extent cx="361950" cy="1870075"/>
              <wp:effectExtent l="0" t="0" r="0" b="0"/>
              <wp:wrapNone/>
              <wp:docPr id="2" name="Caixa de texto 1"/>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361950" cy="1870074"/>
                      </a:xfrm>
                      <a:prstGeom prst="rect">
                        <a:avLst/>
                      </a:prstGeom>
                      <a:solidFill>
                        <a:srgbClr val="FFFFFF"/>
                      </a:solidFill>
                      <a:ln>
                        <a:noFill/>
                      </a:ln>
                    </wps:spPr>
                    <wps:txbx>
                      <w:txbxContent>
                        <w:p w14:paraId="335E528B" w14:textId="77777777">
                          <w:pPr>
                            <w:pBdr/>
                            <w:spacing/>
                            <w:ind/>
                            <w:rPr>
                              <w:sz w:val="2"/>
                              <w:szCs w:val="2"/>
                            </w:rPr>
                          </w:pPr>
                          <w:r>
                            <w:rPr>
                              <w:sz w:val="2"/>
                              <w:szCs w:val="2"/>
                            </w:rPr>
                          </w:r>
                          <w:r>
                            <w:rPr>
                              <w:sz w:val="2"/>
                              <w:szCs w:val="2"/>
                            </w:rPr>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shape 1" o:spid="_x0000_s1" o:spt="202" type="#_x0000_t202" style="position:absolute;z-index:251659264;o:allowoverlap:true;o:allowincell:false;mso-position-horizontal-relative:margin;margin-left:474.80pt;mso-position-horizontal:absolute;mso-position-vertical-relative:text;margin-top:8.20pt;mso-position-vertical:absolute;width:28.50pt;height:147.25pt;mso-wrap-distance-left:5.70pt;mso-wrap-distance-top:5.70pt;mso-wrap-distance-right:5.70pt;mso-wrap-distance-bottom:5.70pt;v-text-anchor:top;visibility:visible;" fillcolor="#FFFFFF" stroked="f">
              <v:textbox inset="0,0,0,0">
                <w:txbxContent>
                  <w:p w14:paraId="335E528B" w14:textId="77777777">
                    <w:pPr>
                      <w:pBdr/>
                      <w:spacing/>
                      <w:ind/>
                      <w:rPr>
                        <w:sz w:val="2"/>
                        <w:szCs w:val="2"/>
                      </w:rPr>
                    </w:pPr>
                    <w:r>
                      <w:rPr>
                        <w:sz w:val="2"/>
                        <w:szCs w:val="2"/>
                      </w:rPr>
                    </w:r>
                    <w:r>
                      <w:rPr>
                        <w:sz w:val="2"/>
                        <w:szCs w:val="2"/>
                      </w:rPr>
                    </w:r>
                  </w:p>
                </w:txbxContent>
              </v:textbox>
            </v:shape>
          </w:pict>
        </mc:Fallback>
      </mc:AlternateContent>
    </w:r>
    <w:r>
      <w:fldChar w:fldCharType="begin"/>
    </w:r>
    <w:r>
      <w:rPr>
        <w:lang w:val="pt-BR"/>
      </w:rPr>
      <w:instrText xml:space="preserve"> PAGE </w:instrText>
    </w:r>
    <w:r>
      <w:fldChar w:fldCharType="separate"/>
    </w:r>
    <w:r>
      <w:rPr>
        <w:lang w:val="pt-BR"/>
      </w:rPr>
      <w:t xml:space="preserve">85</w:t>
    </w:r>
    <w:r>
      <w:fldChar w:fldCharType="end"/>
    </w:r>
    <w:r>
      <w:rPr>
        <w:lang w:val="pt-BR"/>
      </w:rPr>
    </w:r>
  </w:p>
  <w:p w14:paraId="3D51F1B2" w14:textId="7A4E3DE8">
    <w:pPr>
      <w:pStyle w:val="915"/>
      <w:pBdr/>
      <w:spacing/>
      <w:ind/>
      <w:jc w:val="center"/>
      <w:rPr>
        <w:lang w:val="pt-BR"/>
      </w:rPr>
    </w:pPr>
    <w:r>
      <w:rPr>
        <w:rFonts w:ascii="Arial" w:hAnsi="Arial" w:cs="Arial"/>
        <w:b/>
        <w:sz w:val="16"/>
        <w:lang w:val="pt-BR"/>
      </w:rPr>
      <w:t xml:space="preserve">Av. Duque de Caxias, 1.000 – Vila Aurora – Fone (0**66) 3411-5739 – CEP 78.740-022 – Rondonópolis/MT</w:t>
    </w:r>
    <w:r>
      <w:rPr>
        <w:lang w:val="pt-BR"/>
      </w:rPr>
    </w:r>
  </w:p>
  <w:p w14:paraId="0BB2165B" w14:textId="26A9D668">
    <w:pPr>
      <w:pStyle w:val="915"/>
      <w:pBdr/>
      <w:spacing/>
      <w:ind/>
      <w:jc w:val="center"/>
      <w:rPr>
        <w:sz w:val="2"/>
        <w:szCs w:val="2"/>
      </w:rPr>
    </w:pPr>
    <w:r>
      <w:rPr>
        <w:rFonts w:ascii="Arial" w:hAnsi="Arial" w:cs="Arial"/>
        <w:b/>
        <w:sz w:val="16"/>
      </w:rPr>
      <w:t xml:space="preserve">Home Page: </w:t>
    </w:r>
    <w:hyperlink r:id="rId1" w:tooltip="http://www.rondonopolis.mt.gov.br" w:history="1">
      <w:r>
        <w:rPr>
          <w:rFonts w:ascii="Arial" w:hAnsi="Arial" w:cs="Arial"/>
          <w:b/>
          <w:color w:val="0000ff"/>
          <w:sz w:val="16"/>
          <w:u w:val="single"/>
        </w:rPr>
        <w:t xml:space="preserve">www.rondonopolis.mt.gov.br</w:t>
      </w:r>
    </w:hyperlink>
    <w:r/>
    <w:r>
      <w:rPr>
        <w:sz w:val="2"/>
        <w:szCs w:val="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6CA3C3F0" w14:textId="77777777">
      <w:pPr>
        <w:pBdr/>
        <w:spacing/>
        <w:ind/>
        <w:rPr/>
      </w:pPr>
      <w:r>
        <w:separator/>
      </w:r>
      <w:r/>
    </w:p>
  </w:footnote>
  <w:footnote w:type="continuationSeparator" w:id="0">
    <w:p w14:paraId="6E042790"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18218" w:type="dxa"/>
      <w:tblBorders/>
      <w:tblLayout w:type="fixed"/>
      <w:tblLook w:val="04A0" w:firstRow="1" w:lastRow="0" w:firstColumn="1" w:lastColumn="0" w:noHBand="0" w:noVBand="1"/>
    </w:tblPr>
    <w:tblGrid>
      <w:gridCol w:w="250"/>
      <w:gridCol w:w="3544"/>
      <w:gridCol w:w="6095"/>
      <w:gridCol w:w="5356"/>
      <w:gridCol w:w="2973"/>
    </w:tblGrid>
    <w:tr>
      <w:trPr>
        <w:trHeight w:val="1438"/>
      </w:trPr>
      <w:tc>
        <w:tcPr>
          <w:tcBorders>
            <w:top w:val="none" w:color="000000" w:sz="4" w:space="0"/>
            <w:left w:val="none" w:color="000000" w:sz="4" w:space="0"/>
            <w:bottom w:val="none" w:color="000000" w:sz="4" w:space="0"/>
            <w:right w:val="none" w:color="000000" w:sz="4" w:space="0"/>
          </w:tcBorders>
          <w:tcW w:w="250" w:type="dxa"/>
          <w:vAlign w:val="center"/>
          <w:textDirection w:val="lrTb"/>
          <w:noWrap w:val="false"/>
        </w:tcPr>
        <w:p w14:paraId="41D882D9" w14:textId="77777777">
          <w:pPr>
            <w:pStyle w:val="913"/>
            <w:pBdr/>
            <w:tabs>
              <w:tab w:val="right" w:leader="none" w:pos="9360"/>
            </w:tabs>
            <w:spacing/>
            <w:ind/>
            <w:jc w:val="center"/>
            <w:rPr>
              <w:rFonts w:ascii="Arial" w:cs="Arial"/>
              <w:b/>
              <w:smallCaps/>
              <w:color w:val="002060"/>
            </w:rPr>
          </w:pPr>
          <w:r>
            <w:rPr>
              <w:rFonts w:ascii="Arial" w:cs="Arial"/>
              <w:b/>
              <w:smallCaps/>
              <w:color w:val="002060"/>
            </w:rPr>
          </w:r>
          <w:r>
            <w:rPr>
              <w:rFonts w:ascii="Arial" w:cs="Arial"/>
              <w:b/>
              <w:smallCaps/>
              <w:color w:val="002060"/>
            </w:rPr>
          </w:r>
        </w:p>
      </w:tc>
      <w:tc>
        <w:tcPr>
          <w:tcBorders>
            <w:top w:val="none" w:color="000000" w:sz="4" w:space="0"/>
            <w:left w:val="none" w:color="000000" w:sz="4" w:space="0"/>
            <w:bottom w:val="none" w:color="000000" w:sz="4" w:space="0"/>
            <w:right w:val="none" w:color="000000" w:sz="4" w:space="0"/>
          </w:tcBorders>
          <w:tcW w:w="3544" w:type="dxa"/>
          <w:vAlign w:val="center"/>
          <w:textDirection w:val="lrTb"/>
          <w:noWrap w:val="false"/>
        </w:tcPr>
        <w:p w14:paraId="2A20A82F" w14:textId="77777777">
          <w:pPr>
            <w:pStyle w:val="913"/>
            <w:pBdr/>
            <w:tabs>
              <w:tab w:val="left" w:leader="none" w:pos="34"/>
              <w:tab w:val="right" w:leader="none" w:pos="9360"/>
            </w:tabs>
            <w:spacing/>
            <w:ind/>
            <w:rPr>
              <w:rFonts w:ascii="Helvetica" w:cs="Helvetica"/>
              <w:smallCaps/>
            </w:rPr>
          </w:pPr>
          <w:r>
            <w:rPr>
              <w:rFonts w:ascii="Helvetica" w:cs="Helvetica"/>
              <w:smallCaps/>
              <w:lang w:val="pt-BR"/>
            </w:rPr>
            <mc:AlternateContent>
              <mc:Choice Requires="wpg">
                <w:drawing>
                  <wp:inline xmlns:wp="http://schemas.openxmlformats.org/drawingml/2006/wordprocessingDrawing" distT="0" distB="0" distL="0" distR="0">
                    <wp:extent cx="2095500" cy="561975"/>
                    <wp:effectExtent l="0" t="0" r="0" b="9525"/>
                    <wp:docPr id="1" name="Imagem 8" descr="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8" descr="COR"/>
                            <pic:cNvPicPr>
                              <a:picLocks noChangeAspect="1"/>
                            </pic:cNvPicPr>
                            <pic:nvPr/>
                          </pic:nvPicPr>
                          <pic:blipFill rotWithShape="1">
                            <a:blip r:embed="rId1"/>
                            <a:stretch/>
                          </pic:blipFill>
                          <pic:spPr bwMode="auto">
                            <a:xfrm>
                              <a:off x="0" y="0"/>
                              <a:ext cx="2095500" cy="56197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5.00pt;height:44.25pt;mso-wrap-distance-left:0.00pt;mso-wrap-distance-top:0.00pt;mso-wrap-distance-right:0.00pt;mso-wrap-distance-bottom:0.00pt;z-index:1;" stroked="f">
                    <v:imagedata r:id="rId1" o:title=""/>
                    <o:lock v:ext="edit" rotation="t"/>
                  </v:shape>
                </w:pict>
              </mc:Fallback>
            </mc:AlternateContent>
          </w:r>
          <w:r>
            <w:rPr>
              <w:rFonts w:ascii="Helvetica" w:cs="Helvetica"/>
              <w:smallCaps/>
            </w:rPr>
          </w:r>
        </w:p>
      </w:tc>
      <w:tc>
        <w:tcPr>
          <w:tcBorders>
            <w:top w:val="none" w:color="000000" w:sz="4" w:space="0"/>
            <w:left w:val="none" w:color="000000" w:sz="4" w:space="0"/>
            <w:bottom w:val="none" w:color="000000" w:sz="4" w:space="0"/>
            <w:right w:val="none" w:color="000000" w:sz="4" w:space="0"/>
          </w:tcBorders>
          <w:tcW w:w="6095" w:type="dxa"/>
          <w:vAlign w:val="center"/>
          <w:textDirection w:val="lrTb"/>
          <w:noWrap w:val="false"/>
        </w:tcPr>
        <w:p w14:paraId="41E0D563" w14:textId="77777777">
          <w:pPr>
            <w:pBdr/>
            <w:spacing w:line="276" w:lineRule="auto"/>
            <w:ind w:right="-1178"/>
            <w:jc w:val="both"/>
            <w:rPr>
              <w:rFonts w:ascii="Arial" w:hAnsi="Arial" w:cs="Arial"/>
              <w:b/>
              <w:smallCaps/>
            </w:rPr>
          </w:pPr>
          <w:r>
            <w:rPr>
              <w:rFonts w:ascii="Arial" w:hAnsi="Arial" w:cs="Arial"/>
              <w:b/>
              <w:smallCaps/>
            </w:rPr>
            <w:t xml:space="preserve">   Estado de Mato Grosso</w:t>
          </w:r>
          <w:r>
            <w:rPr>
              <w:rFonts w:ascii="Arial" w:hAnsi="Arial" w:cs="Arial"/>
              <w:b/>
              <w:smallCaps/>
            </w:rPr>
          </w:r>
        </w:p>
        <w:p w14:paraId="69670749" w14:textId="77777777">
          <w:pPr>
            <w:pBdr/>
            <w:spacing w:line="276" w:lineRule="auto"/>
            <w:ind w:right="-1178" w:hanging="283" w:left="500"/>
            <w:jc w:val="both"/>
            <w:rPr>
              <w:rFonts w:ascii="Arial" w:hAnsi="Arial" w:cs="Arial"/>
              <w:b/>
              <w:smallCaps/>
            </w:rPr>
          </w:pPr>
          <w:r>
            <w:rPr>
              <w:rFonts w:ascii="Arial" w:hAnsi="Arial" w:cs="Arial"/>
              <w:b/>
              <w:smallCaps/>
            </w:rPr>
            <w:t xml:space="preserve">Município de Rondonópolis</w:t>
          </w:r>
          <w:r>
            <w:rPr>
              <w:rFonts w:ascii="Arial" w:hAnsi="Arial" w:cs="Arial"/>
              <w:b/>
              <w:smallCaps/>
            </w:rPr>
          </w:r>
        </w:p>
        <w:p w14:paraId="308F70EF" w14:textId="77777777">
          <w:pPr>
            <w:pBdr/>
            <w:spacing w:line="276" w:lineRule="auto"/>
            <w:ind w:right="-1178" w:hanging="283" w:left="500"/>
            <w:jc w:val="both"/>
            <w:rPr>
              <w:rFonts w:ascii="Arial" w:hAnsi="Arial" w:cs="Arial"/>
              <w:b/>
              <w:smallCaps/>
            </w:rPr>
          </w:pPr>
          <w:r>
            <w:rPr>
              <w:rFonts w:ascii="Arial" w:hAnsi="Arial" w:cs="Arial"/>
              <w:b/>
              <w:smallCaps/>
            </w:rPr>
            <w:t xml:space="preserve">Secretaria Municipal de Administração, Gestão e Inovação</w:t>
          </w:r>
          <w:r>
            <w:rPr>
              <w:rFonts w:ascii="Arial" w:hAnsi="Arial" w:cs="Arial"/>
              <w:b/>
              <w:smallCaps/>
            </w:rPr>
          </w:r>
        </w:p>
        <w:p w14:paraId="09EC4C81" w14:textId="1FE08053">
          <w:pPr>
            <w:pBdr/>
            <w:spacing w:line="276" w:lineRule="auto"/>
            <w:ind w:right="-1178" w:hanging="283" w:left="500"/>
            <w:jc w:val="both"/>
            <w:rPr/>
          </w:pPr>
          <w:r>
            <w:rPr>
              <w:rFonts w:ascii="Arial" w:hAnsi="Arial" w:cs="Arial"/>
              <w:b/>
              <w:smallCaps/>
            </w:rPr>
            <w:t xml:space="preserve">Superintendência de Compras e Licitações (P.E.</w:t>
          </w:r>
          <w:r>
            <w:rPr>
              <w:rFonts w:ascii="Arial" w:hAnsi="Arial" w:cs="Arial"/>
              <w:b/>
              <w:smallCaps/>
            </w:rPr>
            <w:t xml:space="preserve">14</w:t>
          </w:r>
          <w:r>
            <w:rPr>
              <w:rFonts w:ascii="Arial" w:hAnsi="Arial" w:cs="Arial"/>
              <w:b/>
              <w:smallCaps/>
            </w:rPr>
            <w:t xml:space="preserve">/202</w:t>
          </w:r>
          <w:r>
            <w:rPr>
              <w:rFonts w:ascii="Arial" w:hAnsi="Arial" w:cs="Arial"/>
              <w:b/>
              <w:smallCaps/>
            </w:rPr>
            <w:t xml:space="preserve">6</w:t>
          </w:r>
          <w:r>
            <w:rPr>
              <w:rFonts w:ascii="Arial" w:hAnsi="Arial" w:cs="Arial"/>
              <w:b/>
              <w:smallCaps/>
            </w:rPr>
            <w:t xml:space="preserve">)</w:t>
          </w:r>
          <w:r/>
        </w:p>
      </w:tc>
      <w:tc>
        <w:tcPr>
          <w:tcBorders>
            <w:top w:val="none" w:color="000000" w:sz="4" w:space="0"/>
            <w:left w:val="none" w:color="000000" w:sz="4" w:space="0"/>
            <w:bottom w:val="none" w:color="000000" w:sz="4" w:space="0"/>
            <w:right w:val="none" w:color="000000" w:sz="4" w:space="0"/>
          </w:tcBorders>
          <w:tcW w:w="5356" w:type="dxa"/>
          <w:vAlign w:val="center"/>
          <w:textDirection w:val="lrTb"/>
          <w:noWrap w:val="false"/>
        </w:tcPr>
        <w:p w14:paraId="493FB5DF" w14:textId="77777777">
          <w:pPr>
            <w:pBdr/>
            <w:spacing/>
            <w:ind/>
            <w:rPr>
              <w:color w:val="002060"/>
            </w:rPr>
          </w:pPr>
          <w:r>
            <w:rPr>
              <w:color w:val="002060"/>
            </w:rPr>
          </w:r>
          <w:r>
            <w:rPr>
              <w:color w:val="002060"/>
            </w:rPr>
          </w:r>
        </w:p>
      </w:tc>
      <w:tc>
        <w:tcPr>
          <w:tcBorders>
            <w:top w:val="none" w:color="000000" w:sz="4" w:space="0"/>
            <w:left w:val="none" w:color="000000" w:sz="4" w:space="0"/>
            <w:bottom w:val="none" w:color="000000" w:sz="4" w:space="0"/>
            <w:right w:val="none" w:color="000000" w:sz="4" w:space="0"/>
          </w:tcBorders>
          <w:tcW w:w="2973" w:type="dxa"/>
          <w:vAlign w:val="center"/>
          <w:textDirection w:val="lrTb"/>
          <w:noWrap w:val="false"/>
        </w:tcPr>
        <w:p w14:paraId="2C311104" w14:textId="77777777">
          <w:pPr>
            <w:pStyle w:val="913"/>
            <w:pBdr/>
            <w:tabs>
              <w:tab w:val="right" w:leader="none" w:pos="9360"/>
            </w:tabs>
            <w:spacing/>
            <w:ind/>
            <w:jc w:val="center"/>
            <w:rPr>
              <w:rFonts w:ascii="Helvetica" w:cs="Helvetica"/>
              <w:smallCaps/>
              <w:lang w:val="pt-BR"/>
            </w:rPr>
          </w:pPr>
          <w:r>
            <w:rPr>
              <w:rFonts w:ascii="Helvetica" w:cs="Helvetica"/>
              <w:smallCaps/>
              <w:lang w:val="pt-BR"/>
            </w:rPr>
          </w:r>
          <w:r>
            <w:rPr>
              <w:rFonts w:ascii="Helvetica" w:cs="Helvetica"/>
              <w:smallCaps/>
              <w:lang w:val="pt-BR"/>
            </w:rPr>
          </w:r>
        </w:p>
      </w:tc>
    </w:tr>
  </w:tbl>
  <w:p w14:paraId="0845B8C0" w14:textId="77777777">
    <w:pPr>
      <w:pStyle w:val="913"/>
      <w:pBdr/>
      <w:spacing/>
      <w:ind/>
      <w:rPr>
        <w:lang w:val="pt-BR"/>
      </w:rPr>
    </w:pPr>
    <w:r>
      <w:rPr>
        <w:lang w:val="pt-BR"/>
      </w:rPr>
    </w:r>
    <w:r>
      <w:rPr>
        <w:lang w:val="pt-BR"/>
      </w:rPr>
    </w:r>
  </w:p>
  <w:p w14:paraId="75CD5738" w14:textId="77777777">
    <w:pPr>
      <w:pStyle w:val="913"/>
      <w:pBdr/>
      <w:spacing/>
      <w:ind/>
      <w:rPr>
        <w:lang w:val="pt-BR"/>
      </w:rPr>
    </w:pP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D3C13"/>
    <w:lvl w:ilvl="0">
      <w:isLgl w:val="false"/>
      <w:lvlJc w:val="left"/>
      <w:lvlText w:val="%1)"/>
      <w:numFmt w:val="lowerLetter"/>
      <w:pPr>
        <w:pBdr/>
        <w:spacing/>
        <w:ind/>
      </w:pPr>
      <w:rPr>
        <w:rFonts w:cs="Times New Roman"/>
      </w:rPr>
      <w:start w:val="1"/>
      <w:suff w:val="space"/>
    </w:lvl>
    <w:lvl w:ilvl="1">
      <w:isLgl w:val="false"/>
      <w:lvlJc w:val="left"/>
      <w:lvlText w:val=")"/>
      <w:numFmt w:val="decimal"/>
      <w:pPr>
        <w:pBdr/>
        <w:spacing/>
        <w:ind/>
      </w:pPr>
      <w:rPr>
        <w:rFonts w:cs="Times New Roman"/>
      </w:rPr>
      <w:start w:val="1"/>
      <w:suff w:val="tab"/>
    </w:lvl>
    <w:lvl w:ilvl="2">
      <w:isLgl w:val="false"/>
      <w:lvlJc w:val="left"/>
      <w:lvlText w:val=")"/>
      <w:numFmt w:val="decimal"/>
      <w:pPr>
        <w:pBdr/>
        <w:spacing/>
        <w:ind/>
      </w:pPr>
      <w:rPr>
        <w:rFonts w:cs="Times New Roman"/>
      </w:rPr>
      <w:start w:val="1"/>
      <w:suff w:val="tab"/>
    </w:lvl>
    <w:lvl w:ilvl="3">
      <w:isLgl w:val="false"/>
      <w:lvlJc w:val="left"/>
      <w:lvlText w:val=")"/>
      <w:numFmt w:val="decimal"/>
      <w:pPr>
        <w:pBdr/>
        <w:spacing/>
        <w:ind/>
      </w:pPr>
      <w:rPr>
        <w:rFonts w:cs="Times New Roman"/>
      </w:rPr>
      <w:start w:val="1"/>
      <w:suff w:val="tab"/>
    </w:lvl>
    <w:lvl w:ilvl="4">
      <w:isLgl w:val="false"/>
      <w:lvlJc w:val="left"/>
      <w:lvlText w:val=")"/>
      <w:numFmt w:val="decimal"/>
      <w:pPr>
        <w:pBdr/>
        <w:spacing/>
        <w:ind/>
      </w:pPr>
      <w:rPr>
        <w:rFonts w:cs="Times New Roman"/>
      </w:rPr>
      <w:start w:val="1"/>
      <w:suff w:val="tab"/>
    </w:lvl>
    <w:lvl w:ilvl="5">
      <w:isLgl w:val="false"/>
      <w:lvlJc w:val="left"/>
      <w:lvlText w:val=")"/>
      <w:numFmt w:val="decimal"/>
      <w:pPr>
        <w:pBdr/>
        <w:spacing/>
        <w:ind/>
      </w:pPr>
      <w:rPr>
        <w:rFonts w:cs="Times New Roman"/>
      </w:rPr>
      <w:start w:val="1"/>
      <w:suff w:val="tab"/>
    </w:lvl>
    <w:lvl w:ilvl="6">
      <w:isLgl w:val="false"/>
      <w:lvlJc w:val="left"/>
      <w:lvlText w:val=")"/>
      <w:numFmt w:val="decimal"/>
      <w:pPr>
        <w:pBdr/>
        <w:spacing/>
        <w:ind/>
      </w:pPr>
      <w:rPr>
        <w:rFonts w:cs="Times New Roman"/>
      </w:rPr>
      <w:start w:val="1"/>
      <w:suff w:val="tab"/>
    </w:lvl>
    <w:lvl w:ilvl="7">
      <w:isLgl w:val="false"/>
      <w:lvlJc w:val="left"/>
      <w:lvlText w:val=")"/>
      <w:numFmt w:val="decimal"/>
      <w:pPr>
        <w:pBdr/>
        <w:spacing/>
        <w:ind/>
      </w:pPr>
      <w:rPr>
        <w:rFonts w:cs="Times New Roman"/>
      </w:rPr>
      <w:start w:val="1"/>
      <w:suff w:val="tab"/>
    </w:lvl>
    <w:lvl w:ilvl="8">
      <w:isLgl w:val="false"/>
      <w:lvlJc w:val="left"/>
      <w:lvlText w:val=")"/>
      <w:numFmt w:val="decimal"/>
      <w:pPr>
        <w:pBdr/>
        <w:spacing/>
        <w:ind/>
      </w:pPr>
      <w:rPr>
        <w:rFonts w:cs="Times New Roman"/>
      </w:rPr>
      <w:start w:val="1"/>
      <w:suff w:val="tab"/>
    </w:lvl>
  </w:abstractNum>
  <w:abstractNum w:abstractNumId="1">
    <w:nsid w:val="FA539149"/>
    <w:lvl w:ilvl="0">
      <w:isLgl w:val="false"/>
      <w:lvlJc w:val="left"/>
      <w:lvlText w:val="%1."/>
      <w:numFmt w:val="decimal"/>
      <w:pPr>
        <w:pBdr/>
        <w:spacing/>
        <w:ind/>
      </w:pPr>
      <w:rPr>
        <w:rFonts w:cs="Times New Roman"/>
        <w:b/>
      </w:rPr>
      <w:start w:val="1"/>
      <w:suff w:val="space"/>
    </w:lvl>
    <w:lvl w:ilvl="1">
      <w:isLgl w:val="false"/>
      <w:lvlJc w:val="left"/>
      <w:lvlText w:val="%1.%2."/>
      <w:numFmt w:val="decimal"/>
      <w:pPr>
        <w:pBdr/>
        <w:spacing/>
        <w:ind/>
      </w:pPr>
      <w:rPr>
        <w:rFonts w:cs="Times New Roman"/>
        <w:b/>
      </w:rPr>
      <w:start w:val="1"/>
      <w:suff w:val="space"/>
    </w:lvl>
    <w:lvl w:ilvl="2">
      <w:isLgl w:val="false"/>
      <w:lvlJc w:val="left"/>
      <w:lvlText w:val="%1.%2.%3."/>
      <w:numFmt w:val="decimal"/>
      <w:pPr>
        <w:pBdr/>
        <w:spacing/>
        <w:ind/>
      </w:pPr>
      <w:rPr>
        <w:rFonts w:cs="Times New Roman"/>
        <w:b/>
      </w:rPr>
      <w:start w:val="1"/>
      <w:suff w:val="space"/>
    </w:lvl>
    <w:lvl w:ilvl="3">
      <w:isLgl w:val="false"/>
      <w:lvlJc w:val="left"/>
      <w:lvlText w:val="%1.%2.%3.%4."/>
      <w:numFmt w:val="decimal"/>
      <w:pPr>
        <w:pBdr/>
        <w:spacing/>
        <w:ind/>
      </w:pPr>
      <w:rPr>
        <w:rFonts w:cs="Times New Roman"/>
        <w:b/>
      </w:rPr>
      <w:start w:val="1"/>
      <w:suff w:val="space"/>
    </w:lvl>
    <w:lvl w:ilvl="4">
      <w:isLgl w:val="false"/>
      <w:lvlJc w:val="left"/>
      <w:lvlText w:val="%1.%2.%3.%4.%5."/>
      <w:numFmt w:val="decimal"/>
      <w:pPr>
        <w:pBdr/>
        <w:spacing/>
        <w:ind/>
      </w:pPr>
      <w:rPr>
        <w:rFonts w:cs="Times New Roman"/>
        <w:b/>
      </w:rPr>
      <w:start w:val="1"/>
      <w:suff w:val="space"/>
    </w:lvl>
    <w:lvl w:ilvl="5">
      <w:isLgl w:val="false"/>
      <w:lvlJc w:val="left"/>
      <w:lvlText w:val="%1.%2.%3.%4.%5.%6."/>
      <w:numFmt w:val="decimal"/>
      <w:pPr>
        <w:pBdr/>
        <w:spacing/>
        <w:ind/>
      </w:pPr>
      <w:rPr>
        <w:rFonts w:cs="Times New Roman"/>
      </w:rPr>
      <w:start w:val="1"/>
      <w:suff w:val="space"/>
    </w:lvl>
    <w:lvl w:ilvl="6">
      <w:isLgl w:val="false"/>
      <w:lvlJc w:val="left"/>
      <w:lvlText w:val="%1.%2.%3.%4.%5.%6.%7."/>
      <w:numFmt w:val="decimal"/>
      <w:pPr>
        <w:pBdr/>
        <w:spacing/>
        <w:ind/>
      </w:pPr>
      <w:rPr>
        <w:rFonts w:cs="Times New Roman"/>
      </w:rPr>
      <w:start w:val="1"/>
      <w:suff w:val="space"/>
    </w:lvl>
    <w:lvl w:ilvl="7">
      <w:isLgl w:val="false"/>
      <w:lvlJc w:val="left"/>
      <w:lvlText w:val="%1.%2.%3.%4.%5.%6.%7.%8."/>
      <w:numFmt w:val="decimal"/>
      <w:pPr>
        <w:pBdr/>
        <w:spacing/>
        <w:ind/>
      </w:pPr>
      <w:rPr>
        <w:rFonts w:cs="Times New Roman"/>
      </w:rPr>
      <w:start w:val="1"/>
      <w:suff w:val="space"/>
    </w:lvl>
    <w:lvl w:ilvl="8">
      <w:isLgl w:val="false"/>
      <w:lvlJc w:val="left"/>
      <w:lvlText w:val="%1.%2.%3.%4.%5.%6.%7.%8.%9."/>
      <w:numFmt w:val="decimal"/>
      <w:pPr>
        <w:pBdr/>
        <w:spacing/>
        <w:ind/>
      </w:pPr>
      <w:rPr>
        <w:rFonts w:cs="Times New Roman"/>
      </w:rPr>
      <w:start w:val="1"/>
      <w:suff w:val="space"/>
    </w:lvl>
  </w:abstractNum>
  <w:abstractNum w:abstractNumId="2">
    <w:nsid w:val="00000002"/>
    <w:lvl w:ilvl="0">
      <w:isLgl w:val="false"/>
      <w:lvlJc w:val="left"/>
      <w:lvlText w:val="%1."/>
      <w:numFmt w:val="decimal"/>
      <w:pPr>
        <w:pBdr/>
        <w:spacing/>
        <w:ind w:hanging="360" w:left="360"/>
      </w:pPr>
      <w:rPr>
        <w:rFonts w:ascii="Times New Roman" w:hAnsi="Times New Roman" w:eastAsia="SimSun" w:cs="Times New Roman"/>
      </w:rPr>
      <w:start w:val="1"/>
      <w:suff w:val="tab"/>
    </w:lvl>
    <w:lvl w:ilvl="1">
      <w:isLgl w:val="false"/>
      <w:lvlJc w:val="left"/>
      <w:lvlText w:val="%1.%2."/>
      <w:numFmt w:val="decimal"/>
      <w:pPr>
        <w:pBdr/>
        <w:spacing/>
        <w:ind w:hanging="360" w:left="360"/>
      </w:pPr>
      <w:rPr>
        <w:rFonts w:ascii="Times New Roman" w:hAnsi="Times New Roman" w:eastAsia="SimSun" w:cs="Times New Roman"/>
      </w:rPr>
      <w:start w:val="1"/>
      <w:suff w:val="tab"/>
    </w:lvl>
    <w:lvl w:ilvl="2">
      <w:isLgl w:val="false"/>
      <w:lvlJc w:val="left"/>
      <w:lvlText w:val="%1.%2.%3."/>
      <w:numFmt w:val="decimal"/>
      <w:pPr>
        <w:pBdr/>
        <w:spacing/>
        <w:ind w:hanging="720" w:left="720"/>
      </w:pPr>
      <w:rPr>
        <w:rFonts w:ascii="Times New Roman" w:hAnsi="Times New Roman" w:eastAsia="SimSun" w:cs="Times New Roman"/>
      </w:rPr>
      <w:start w:val="1"/>
      <w:suff w:val="tab"/>
    </w:lvl>
    <w:lvl w:ilvl="3">
      <w:isLgl w:val="false"/>
      <w:lvlJc w:val="left"/>
      <w:lvlText w:val="%1.%2.%3.%4."/>
      <w:numFmt w:val="decimal"/>
      <w:pPr>
        <w:pBdr/>
        <w:spacing/>
        <w:ind w:hanging="720" w:left="720"/>
      </w:pPr>
      <w:rPr>
        <w:rFonts w:ascii="Times New Roman" w:hAnsi="Times New Roman" w:eastAsia="SimSun" w:cs="Times New Roman"/>
      </w:rPr>
      <w:start w:val="1"/>
      <w:suff w:val="tab"/>
    </w:lvl>
    <w:lvl w:ilvl="4">
      <w:isLgl w:val="false"/>
      <w:lvlJc w:val="left"/>
      <w:lvlText w:val="%1.%2.%3.%4.%5."/>
      <w:numFmt w:val="decimal"/>
      <w:pPr>
        <w:pBdr/>
        <w:spacing/>
        <w:ind w:hanging="1080" w:left="1080"/>
      </w:pPr>
      <w:rPr>
        <w:rFonts w:ascii="Times New Roman" w:hAnsi="Times New Roman" w:eastAsia="SimSun" w:cs="Times New Roman"/>
      </w:rPr>
      <w:start w:val="1"/>
      <w:suff w:val="tab"/>
    </w:lvl>
    <w:lvl w:ilvl="5">
      <w:isLgl w:val="false"/>
      <w:lvlJc w:val="left"/>
      <w:lvlText w:val="%1.%2.%3.%4.%5.%6."/>
      <w:numFmt w:val="decimal"/>
      <w:pPr>
        <w:pBdr/>
        <w:spacing/>
        <w:ind w:hanging="1080" w:left="1080"/>
      </w:pPr>
      <w:rPr>
        <w:rFonts w:ascii="Times New Roman" w:hAnsi="Times New Roman" w:eastAsia="SimSun" w:cs="Times New Roman"/>
      </w:rPr>
      <w:start w:val="1"/>
      <w:suff w:val="tab"/>
    </w:lvl>
    <w:lvl w:ilvl="6">
      <w:isLgl w:val="false"/>
      <w:lvlJc w:val="left"/>
      <w:lvlText w:val="%1.%2.%3.%4.%5.%6.%7."/>
      <w:numFmt w:val="decimal"/>
      <w:pPr>
        <w:pBdr/>
        <w:spacing/>
        <w:ind w:hanging="1440" w:left="1440"/>
      </w:pPr>
      <w:rPr>
        <w:rFonts w:ascii="Times New Roman" w:hAnsi="Times New Roman" w:eastAsia="SimSun" w:cs="Times New Roman"/>
      </w:rPr>
      <w:start w:val="1"/>
      <w:suff w:val="tab"/>
    </w:lvl>
    <w:lvl w:ilvl="7">
      <w:isLgl w:val="false"/>
      <w:lvlJc w:val="left"/>
      <w:lvlText w:val="%1.%2.%3.%4.%5.%6.%7.%8."/>
      <w:numFmt w:val="decimal"/>
      <w:pPr>
        <w:pBdr/>
        <w:spacing/>
        <w:ind w:hanging="1440" w:left="1440"/>
      </w:pPr>
      <w:rPr>
        <w:rFonts w:ascii="Times New Roman" w:hAnsi="Times New Roman" w:eastAsia="SimSun" w:cs="Times New Roman"/>
      </w:rPr>
      <w:start w:val="1"/>
      <w:suff w:val="tab"/>
    </w:lvl>
    <w:lvl w:ilvl="8">
      <w:isLgl w:val="false"/>
      <w:lvlJc w:val="left"/>
      <w:lvlText w:val="%1.%2.%3.%4.%5.%6.%7.%8.%9."/>
      <w:numFmt w:val="decimal"/>
      <w:pPr>
        <w:pBdr/>
        <w:spacing/>
        <w:ind w:hanging="1800" w:left="1800"/>
      </w:pPr>
      <w:rPr>
        <w:rFonts w:ascii="Times New Roman" w:hAnsi="Times New Roman" w:eastAsia="SimSun" w:cs="Times New Roman"/>
      </w:rPr>
      <w:start w:val="1"/>
      <w:suff w:val="tab"/>
    </w:lvl>
  </w:abstractNum>
  <w:abstractNum w:abstractNumId="3">
    <w:nsid w:val="00000003"/>
    <w:lvl w:ilvl="0">
      <w:isLgl w:val="false"/>
      <w:lvlJc w:val="left"/>
      <w:lvlText w:val=""/>
      <w:numFmt w:val="bullet"/>
      <w:pPr>
        <w:pBdr/>
        <w:spacing/>
        <w:ind w:hanging="360" w:left="720"/>
      </w:pPr>
      <w:rPr>
        <w:rFonts w:ascii="Symbol" w:hAnsi="Symbol" w:eastAsia="SimSun"/>
      </w:rPr>
      <w:start w:val="1"/>
      <w:suff w:val="tab"/>
    </w:lvl>
    <w:lvl w:ilvl="1">
      <w:isLgl w:val="false"/>
      <w:lvlJc w:val="left"/>
      <w:lvlText w:val="o"/>
      <w:numFmt w:val="bullet"/>
      <w:pPr>
        <w:pBdr/>
        <w:spacing/>
        <w:ind w:hanging="360" w:left="1440"/>
      </w:pPr>
      <w:rPr>
        <w:rFonts w:ascii="Liberation Serif" w:hAnsi="Times New Roman" w:eastAsia="SimSun"/>
      </w:rPr>
      <w:start w:val="1"/>
      <w:suff w:val="tab"/>
    </w:lvl>
    <w:lvl w:ilvl="2">
      <w:isLgl w:val="false"/>
      <w:lvlJc w:val="left"/>
      <w:lvlText w:val=""/>
      <w:numFmt w:val="bullet"/>
      <w:pPr>
        <w:pBdr/>
        <w:spacing/>
        <w:ind w:hanging="360" w:left="2160"/>
      </w:pPr>
      <w:rPr>
        <w:rFonts w:ascii="Liberation Serif" w:hAnsi="Times New Roman" w:eastAsia="SimSun"/>
      </w:rPr>
      <w:start w:val="1"/>
      <w:suff w:val="tab"/>
    </w:lvl>
    <w:lvl w:ilvl="3">
      <w:isLgl w:val="false"/>
      <w:lvlJc w:val="left"/>
      <w:lvlText w:val=""/>
      <w:numFmt w:val="bullet"/>
      <w:pPr>
        <w:pBdr/>
        <w:spacing/>
        <w:ind w:hanging="360" w:left="2880"/>
      </w:pPr>
      <w:rPr>
        <w:rFonts w:ascii="Symbol" w:hAnsi="Symbol" w:eastAsia="SimSun"/>
      </w:rPr>
      <w:start w:val="1"/>
      <w:suff w:val="tab"/>
    </w:lvl>
    <w:lvl w:ilvl="4">
      <w:isLgl w:val="false"/>
      <w:lvlJc w:val="left"/>
      <w:lvlText w:val="o"/>
      <w:numFmt w:val="bullet"/>
      <w:pPr>
        <w:pBdr/>
        <w:spacing/>
        <w:ind w:hanging="360" w:left="3600"/>
      </w:pPr>
      <w:rPr>
        <w:rFonts w:ascii="Liberation Serif" w:hAnsi="Times New Roman" w:eastAsia="SimSun"/>
      </w:rPr>
      <w:start w:val="1"/>
      <w:suff w:val="tab"/>
    </w:lvl>
    <w:lvl w:ilvl="5">
      <w:isLgl w:val="false"/>
      <w:lvlJc w:val="left"/>
      <w:lvlText w:val=""/>
      <w:numFmt w:val="bullet"/>
      <w:pPr>
        <w:pBdr/>
        <w:spacing/>
        <w:ind w:hanging="360" w:left="4320"/>
      </w:pPr>
      <w:rPr>
        <w:rFonts w:ascii="Liberation Serif" w:hAnsi="Times New Roman" w:eastAsia="SimSun"/>
      </w:rPr>
      <w:start w:val="1"/>
      <w:suff w:val="tab"/>
    </w:lvl>
    <w:lvl w:ilvl="6">
      <w:isLgl w:val="false"/>
      <w:lvlJc w:val="left"/>
      <w:lvlText w:val=""/>
      <w:numFmt w:val="bullet"/>
      <w:pPr>
        <w:pBdr/>
        <w:spacing/>
        <w:ind w:hanging="360" w:left="5040"/>
      </w:pPr>
      <w:rPr>
        <w:rFonts w:ascii="Symbol" w:hAnsi="Symbol" w:eastAsia="SimSun"/>
      </w:rPr>
      <w:start w:val="1"/>
      <w:suff w:val="tab"/>
    </w:lvl>
    <w:lvl w:ilvl="7">
      <w:isLgl w:val="false"/>
      <w:lvlJc w:val="left"/>
      <w:lvlText w:val="o"/>
      <w:numFmt w:val="bullet"/>
      <w:pPr>
        <w:pBdr/>
        <w:spacing/>
        <w:ind w:hanging="360" w:left="5760"/>
      </w:pPr>
      <w:rPr>
        <w:rFonts w:ascii="Liberation Serif" w:hAnsi="Times New Roman" w:eastAsia="SimSun"/>
      </w:rPr>
      <w:start w:val="1"/>
      <w:suff w:val="tab"/>
    </w:lvl>
    <w:lvl w:ilvl="8">
      <w:isLgl w:val="false"/>
      <w:lvlJc w:val="left"/>
      <w:lvlText w:val=""/>
      <w:numFmt w:val="bullet"/>
      <w:pPr>
        <w:pBdr/>
        <w:spacing/>
        <w:ind w:hanging="360" w:left="6480"/>
      </w:pPr>
      <w:rPr>
        <w:rFonts w:ascii="Liberation Serif" w:hAnsi="Times New Roman" w:eastAsia="SimSun"/>
      </w:rPr>
      <w:start w:val="1"/>
      <w:suff w:val="tab"/>
    </w:lvl>
  </w:abstractNum>
  <w:abstractNum w:abstractNumId="4">
    <w:nsid w:val="0000000A"/>
    <w:lvl w:ilvl="0">
      <w:isLgl w:val="false"/>
      <w:lvlJc w:val="left"/>
      <w:lvlText w:val="%1."/>
      <w:numFmt w:val="decimal"/>
      <w:pPr>
        <w:pBdr/>
        <w:spacing/>
        <w:ind w:hanging="405" w:left="405"/>
      </w:pPr>
      <w:rPr>
        <w:rFonts w:ascii="Times New Roman" w:hAnsi="Times New Roman" w:eastAsia="SimSun" w:cs="Times New Roman"/>
        <w:b/>
      </w:rPr>
      <w:start w:val="1"/>
      <w:suff w:val="tab"/>
    </w:lvl>
    <w:lvl w:ilvl="1">
      <w:isLgl w:val="false"/>
      <w:lvlJc w:val="left"/>
      <w:lvlText w:val="%1.%2."/>
      <w:numFmt w:val="decimal"/>
      <w:pPr>
        <w:pBdr/>
        <w:spacing/>
        <w:ind w:hanging="405" w:left="405"/>
      </w:pPr>
      <w:rPr>
        <w:rFonts w:ascii="Times New Roman" w:hAnsi="Times New Roman" w:eastAsia="SimSun" w:cs="Times New Roman"/>
        <w:b/>
      </w:rPr>
      <w:start w:val="1"/>
      <w:suff w:val="tab"/>
    </w:lvl>
    <w:lvl w:ilvl="2">
      <w:isLgl w:val="false"/>
      <w:lvlJc w:val="left"/>
      <w:lvlText w:val="%1.%2.%3."/>
      <w:numFmt w:val="decimal"/>
      <w:pPr>
        <w:pBdr/>
        <w:spacing/>
        <w:ind w:hanging="720" w:left="720"/>
      </w:pPr>
      <w:rPr>
        <w:rFonts w:ascii="Times New Roman" w:hAnsi="Times New Roman" w:eastAsia="SimSun" w:cs="Times New Roman"/>
        <w:b/>
      </w:rPr>
      <w:start w:val="1"/>
      <w:suff w:val="tab"/>
    </w:lvl>
    <w:lvl w:ilvl="3">
      <w:isLgl w:val="false"/>
      <w:lvlJc w:val="left"/>
      <w:lvlText w:val="%1.%2.%3.%4."/>
      <w:numFmt w:val="decimal"/>
      <w:pPr>
        <w:pBdr/>
        <w:spacing/>
        <w:ind w:hanging="720" w:left="720"/>
      </w:pPr>
      <w:rPr>
        <w:rFonts w:ascii="Times New Roman" w:hAnsi="Times New Roman" w:eastAsia="SimSun" w:cs="Times New Roman"/>
        <w:b/>
      </w:rPr>
      <w:start w:val="1"/>
      <w:suff w:val="tab"/>
    </w:lvl>
    <w:lvl w:ilvl="4">
      <w:isLgl w:val="false"/>
      <w:lvlJc w:val="left"/>
      <w:lvlText w:val="%1.%2.%3.%4.%5."/>
      <w:numFmt w:val="decimal"/>
      <w:pPr>
        <w:pBdr/>
        <w:spacing/>
        <w:ind w:hanging="1080" w:left="1080"/>
      </w:pPr>
      <w:rPr>
        <w:rFonts w:ascii="Times New Roman" w:hAnsi="Times New Roman" w:eastAsia="SimSun" w:cs="Times New Roman"/>
        <w:b/>
      </w:rPr>
      <w:start w:val="1"/>
      <w:suff w:val="tab"/>
    </w:lvl>
    <w:lvl w:ilvl="5">
      <w:isLgl w:val="false"/>
      <w:lvlJc w:val="left"/>
      <w:lvlText w:val="%1.%2.%3.%4.%5.%6."/>
      <w:numFmt w:val="decimal"/>
      <w:pPr>
        <w:pBdr/>
        <w:spacing/>
        <w:ind w:hanging="1080" w:left="1080"/>
      </w:pPr>
      <w:rPr>
        <w:rFonts w:ascii="Times New Roman" w:hAnsi="Times New Roman" w:eastAsia="SimSun" w:cs="Times New Roman"/>
        <w:b/>
      </w:rPr>
      <w:start w:val="1"/>
      <w:suff w:val="tab"/>
    </w:lvl>
    <w:lvl w:ilvl="6">
      <w:isLgl w:val="false"/>
      <w:lvlJc w:val="left"/>
      <w:lvlText w:val="%1.%2.%3.%4.%5.%6.%7."/>
      <w:numFmt w:val="decimal"/>
      <w:pPr>
        <w:pBdr/>
        <w:spacing/>
        <w:ind w:hanging="1440" w:left="1440"/>
      </w:pPr>
      <w:rPr>
        <w:rFonts w:ascii="Times New Roman" w:hAnsi="Times New Roman" w:eastAsia="SimSun" w:cs="Times New Roman"/>
        <w:b/>
      </w:rPr>
      <w:start w:val="1"/>
      <w:suff w:val="tab"/>
    </w:lvl>
    <w:lvl w:ilvl="7">
      <w:isLgl w:val="false"/>
      <w:lvlJc w:val="left"/>
      <w:lvlText w:val="%1.%2.%3.%4.%5.%6.%7.%8."/>
      <w:numFmt w:val="decimal"/>
      <w:pPr>
        <w:pBdr/>
        <w:spacing/>
        <w:ind w:hanging="1440" w:left="1440"/>
      </w:pPr>
      <w:rPr>
        <w:rFonts w:ascii="Times New Roman" w:hAnsi="Times New Roman" w:eastAsia="SimSun" w:cs="Times New Roman"/>
        <w:b/>
      </w:rPr>
      <w:start w:val="1"/>
      <w:suff w:val="tab"/>
    </w:lvl>
    <w:lvl w:ilvl="8">
      <w:isLgl w:val="false"/>
      <w:lvlJc w:val="left"/>
      <w:lvlText w:val="%1.%2.%3.%4.%5.%6.%7.%8.%9."/>
      <w:numFmt w:val="decimal"/>
      <w:pPr>
        <w:pBdr/>
        <w:spacing/>
        <w:ind w:hanging="1800" w:left="1800"/>
      </w:pPr>
      <w:rPr>
        <w:rFonts w:ascii="Times New Roman" w:hAnsi="Times New Roman" w:eastAsia="SimSun" w:cs="Times New Roman"/>
        <w:b/>
      </w:rPr>
      <w:start w:val="1"/>
      <w:suff w:val="tab"/>
    </w:lvl>
  </w:abstractNum>
  <w:abstractNum w:abstractNumId="5">
    <w:nsid w:val="006BE60F"/>
    <w:lvl w:ilvl="0">
      <w:isLgl w:val="false"/>
      <w:lvlJc w:val="left"/>
      <w:lvlText w:val=""/>
      <w:numFmt w:val="bullet"/>
      <w:pPr>
        <w:pBdr/>
        <w:tabs>
          <w:tab w:val="num" w:leader="none" w:pos="420"/>
        </w:tabs>
        <w:spacing/>
        <w:ind w:hanging="420" w:left="420"/>
      </w:pPr>
      <w:rPr>
        <w:rFonts w:hint="default" w:ascii="Wingdings" w:hAnsi="Wingding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nsid w:val="0C6770C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7">
    <w:nsid w:val="0F945DD4"/>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14420B2B"/>
    <w:lvl w:ilvl="0">
      <w:isLgl w:val="false"/>
      <w:lvlJc w:val="left"/>
      <w:lvlText w:val="%1."/>
      <w:numFmt w:val="decimal"/>
      <w:pPr>
        <w:pBdr/>
        <w:spacing/>
        <w:ind/>
      </w:pPr>
      <w:rPr>
        <w:rFonts w:cs="Times New Roman"/>
      </w:rPr>
      <w:start w:val="18"/>
      <w:suff w:val="space"/>
    </w:lvl>
    <w:lvl w:ilvl="1">
      <w:isLgl w:val="false"/>
      <w:lvlJc w:val="left"/>
      <w:lvlText w:val="."/>
      <w:numFmt w:val="decimal"/>
      <w:pPr>
        <w:pBdr/>
        <w:spacing/>
        <w:ind/>
      </w:pPr>
      <w:rPr>
        <w:rFonts w:cs="Times New Roman"/>
      </w:rPr>
      <w:start w:val="1"/>
      <w:suff w:val="tab"/>
    </w:lvl>
    <w:lvl w:ilvl="2">
      <w:isLgl w:val="false"/>
      <w:lvlJc w:val="left"/>
      <w:lvlText w:val="."/>
      <w:numFmt w:val="decimal"/>
      <w:pPr>
        <w:pBdr/>
        <w:spacing/>
        <w:ind/>
      </w:pPr>
      <w:rPr>
        <w:rFonts w:cs="Times New Roman"/>
      </w:rPr>
      <w:start w:val="1"/>
      <w:suff w:val="tab"/>
    </w:lvl>
    <w:lvl w:ilvl="3">
      <w:isLgl w:val="false"/>
      <w:lvlJc w:val="left"/>
      <w:lvlText w:val="."/>
      <w:numFmt w:val="decimal"/>
      <w:pPr>
        <w:pBdr/>
        <w:spacing/>
        <w:ind/>
      </w:pPr>
      <w:rPr>
        <w:rFonts w:cs="Times New Roman"/>
      </w:rPr>
      <w:start w:val="1"/>
      <w:suff w:val="tab"/>
    </w:lvl>
    <w:lvl w:ilvl="4">
      <w:isLgl w:val="false"/>
      <w:lvlJc w:val="left"/>
      <w:lvlText w:val="."/>
      <w:numFmt w:val="decimal"/>
      <w:pPr>
        <w:pBdr/>
        <w:spacing/>
        <w:ind/>
      </w:pPr>
      <w:rPr>
        <w:rFonts w:cs="Times New Roman"/>
      </w:rPr>
      <w:start w:val="1"/>
      <w:suff w:val="tab"/>
    </w:lvl>
    <w:lvl w:ilvl="5">
      <w:isLgl w:val="false"/>
      <w:lvlJc w:val="left"/>
      <w:lvlText w:val="."/>
      <w:numFmt w:val="decimal"/>
      <w:pPr>
        <w:pBdr/>
        <w:spacing/>
        <w:ind/>
      </w:pPr>
      <w:rPr>
        <w:rFonts w:cs="Times New Roman"/>
      </w:rPr>
      <w:start w:val="1"/>
      <w:suff w:val="tab"/>
    </w:lvl>
    <w:lvl w:ilvl="6">
      <w:isLgl w:val="false"/>
      <w:lvlJc w:val="left"/>
      <w:lvlText w:val="."/>
      <w:numFmt w:val="decimal"/>
      <w:pPr>
        <w:pBdr/>
        <w:spacing/>
        <w:ind/>
      </w:pPr>
      <w:rPr>
        <w:rFonts w:cs="Times New Roman"/>
      </w:rPr>
      <w:start w:val="1"/>
      <w:suff w:val="tab"/>
    </w:lvl>
    <w:lvl w:ilvl="7">
      <w:isLgl w:val="false"/>
      <w:lvlJc w:val="left"/>
      <w:lvlText w:val="."/>
      <w:numFmt w:val="decimal"/>
      <w:pPr>
        <w:pBdr/>
        <w:spacing/>
        <w:ind/>
      </w:pPr>
      <w:rPr>
        <w:rFonts w:cs="Times New Roman"/>
      </w:rPr>
      <w:start w:val="1"/>
      <w:suff w:val="tab"/>
    </w:lvl>
    <w:lvl w:ilvl="8">
      <w:isLgl w:val="false"/>
      <w:lvlJc w:val="left"/>
      <w:lvlText w:val="."/>
      <w:numFmt w:val="decimal"/>
      <w:pPr>
        <w:pBdr/>
        <w:spacing/>
        <w:ind/>
      </w:pPr>
      <w:rPr>
        <w:rFonts w:cs="Times New Roman"/>
      </w:rPr>
      <w:start w:val="1"/>
      <w:suff w:val="tab"/>
    </w:lvl>
  </w:abstractNum>
  <w:abstractNum w:abstractNumId="9">
    <w:nsid w:val="21196C82"/>
    <w:lvl w:ilvl="0">
      <w:isLgl w:val="false"/>
      <w:lvlJc w:val="right"/>
      <w:lvlText w:val="%1."/>
      <w:numFmt w:val="upperRoman"/>
      <w:pPr>
        <w:pBdr/>
        <w:spacing/>
        <w:ind w:hanging="360" w:left="720"/>
      </w:pPr>
      <w:rPr>
        <w:rFonts w:cs="Times New Roman"/>
      </w:rPr>
      <w:start w:val="1"/>
      <w:suff w:val="tab"/>
    </w:lvl>
    <w:lvl w:ilvl="1">
      <w:isLgl w:val="false"/>
      <w:lvlJc w:val="left"/>
      <w:lvlText w:val="%2."/>
      <w:numFmt w:val="lowerLetter"/>
      <w:pPr>
        <w:pBdr/>
        <w:spacing/>
        <w:ind w:hanging="360" w:left="1440"/>
      </w:pPr>
      <w:rPr>
        <w:rFonts w:cs="Times New Roman"/>
      </w:rPr>
      <w:start w:val="1"/>
      <w:suff w:val="tab"/>
    </w:lvl>
    <w:lvl w:ilvl="2">
      <w:isLgl w:val="false"/>
      <w:lvlJc w:val="right"/>
      <w:lvlText w:val="%3."/>
      <w:numFmt w:val="lowerRoman"/>
      <w:pPr>
        <w:pBdr/>
        <w:spacing/>
        <w:ind w:hanging="180" w:left="2160"/>
      </w:pPr>
      <w:rPr>
        <w:rFonts w:cs="Times New Roman"/>
      </w:rPr>
      <w:start w:val="1"/>
      <w:suff w:val="tab"/>
    </w:lvl>
    <w:lvl w:ilvl="3">
      <w:isLgl w:val="false"/>
      <w:lvlJc w:val="left"/>
      <w:lvlText w:val="%4."/>
      <w:numFmt w:val="decimal"/>
      <w:pPr>
        <w:pBdr/>
        <w:spacing/>
        <w:ind w:hanging="360" w:left="2880"/>
      </w:pPr>
      <w:rPr>
        <w:rFonts w:cs="Times New Roman"/>
      </w:rPr>
      <w:start w:val="1"/>
      <w:suff w:val="tab"/>
    </w:lvl>
    <w:lvl w:ilvl="4">
      <w:isLgl w:val="false"/>
      <w:lvlJc w:val="left"/>
      <w:lvlText w:val="%5."/>
      <w:numFmt w:val="lowerLetter"/>
      <w:pPr>
        <w:pBdr/>
        <w:spacing/>
        <w:ind w:hanging="360" w:left="3600"/>
      </w:pPr>
      <w:rPr>
        <w:rFonts w:cs="Times New Roman"/>
      </w:rPr>
      <w:start w:val="1"/>
      <w:suff w:val="tab"/>
    </w:lvl>
    <w:lvl w:ilvl="5">
      <w:isLgl w:val="false"/>
      <w:lvlJc w:val="right"/>
      <w:lvlText w:val="%6."/>
      <w:numFmt w:val="lowerRoman"/>
      <w:pPr>
        <w:pBdr/>
        <w:spacing/>
        <w:ind w:hanging="180" w:left="4320"/>
      </w:pPr>
      <w:rPr>
        <w:rFonts w:cs="Times New Roman"/>
      </w:rPr>
      <w:start w:val="1"/>
      <w:suff w:val="tab"/>
    </w:lvl>
    <w:lvl w:ilvl="6">
      <w:isLgl w:val="false"/>
      <w:lvlJc w:val="left"/>
      <w:lvlText w:val="%7."/>
      <w:numFmt w:val="decimal"/>
      <w:pPr>
        <w:pBdr/>
        <w:spacing/>
        <w:ind w:hanging="360" w:left="5040"/>
      </w:pPr>
      <w:rPr>
        <w:rFonts w:cs="Times New Roman"/>
      </w:rPr>
      <w:start w:val="1"/>
      <w:suff w:val="tab"/>
    </w:lvl>
    <w:lvl w:ilvl="7">
      <w:isLgl w:val="false"/>
      <w:lvlJc w:val="left"/>
      <w:lvlText w:val="%8."/>
      <w:numFmt w:val="lowerLetter"/>
      <w:pPr>
        <w:pBdr/>
        <w:spacing/>
        <w:ind w:hanging="360" w:left="5760"/>
      </w:pPr>
      <w:rPr>
        <w:rFonts w:cs="Times New Roman"/>
      </w:rPr>
      <w:start w:val="1"/>
      <w:suff w:val="tab"/>
    </w:lvl>
    <w:lvl w:ilvl="8">
      <w:isLgl w:val="false"/>
      <w:lvlJc w:val="right"/>
      <w:lvlText w:val="%9."/>
      <w:numFmt w:val="lowerRoman"/>
      <w:pPr>
        <w:pBdr/>
        <w:spacing/>
        <w:ind w:hanging="180" w:left="6480"/>
      </w:pPr>
      <w:rPr>
        <w:rFonts w:cs="Times New Roman"/>
      </w:rPr>
      <w:start w:val="1"/>
      <w:suff w:val="tab"/>
    </w:lvl>
  </w:abstractNum>
  <w:abstractNum w:abstractNumId="10">
    <w:nsid w:val="33952795"/>
    <w:lvl w:ilvl="0">
      <w:isLgl w:val="false"/>
      <w:lvlJc w:val="left"/>
      <w:lvlText w:val="%1)"/>
      <w:numFmt w:val="lowerLetter"/>
      <w:pPr>
        <w:pBdr/>
        <w:spacing/>
        <w:ind w:hanging="224" w:left="143"/>
      </w:pPr>
      <w:rPr>
        <w:rFonts w:ascii="Arial" w:hAnsi="Arial" w:eastAsia="Times New Roman" w:cs="Arial"/>
        <w:b/>
        <w:spacing w:val="-1"/>
        <w:sz w:val="20"/>
        <w:szCs w:val="20"/>
      </w:rPr>
      <w:start w:val="1"/>
      <w:suff w:val="tab"/>
    </w:lvl>
    <w:lvl w:ilvl="1">
      <w:isLgl w:val="false"/>
      <w:lvlJc w:val="left"/>
      <w:lvlText w:val="•"/>
      <w:numFmt w:val="bullet"/>
      <w:pPr>
        <w:pBdr/>
        <w:spacing/>
        <w:ind w:hanging="224" w:left="1004"/>
      </w:pPr>
      <w:rPr/>
      <w:start w:val="0"/>
      <w:suff w:val="tab"/>
    </w:lvl>
    <w:lvl w:ilvl="2">
      <w:isLgl w:val="false"/>
      <w:lvlJc w:val="left"/>
      <w:lvlText w:val="•"/>
      <w:numFmt w:val="bullet"/>
      <w:pPr>
        <w:pBdr/>
        <w:spacing/>
        <w:ind w:hanging="224" w:left="1869"/>
      </w:pPr>
      <w:rPr/>
      <w:start w:val="0"/>
      <w:suff w:val="tab"/>
    </w:lvl>
    <w:lvl w:ilvl="3">
      <w:isLgl w:val="false"/>
      <w:lvlJc w:val="left"/>
      <w:lvlText w:val="•"/>
      <w:numFmt w:val="bullet"/>
      <w:pPr>
        <w:pBdr/>
        <w:spacing/>
        <w:ind w:hanging="224" w:left="2734"/>
      </w:pPr>
      <w:rPr/>
      <w:start w:val="0"/>
      <w:suff w:val="tab"/>
    </w:lvl>
    <w:lvl w:ilvl="4">
      <w:isLgl w:val="false"/>
      <w:lvlJc w:val="left"/>
      <w:lvlText w:val="•"/>
      <w:numFmt w:val="bullet"/>
      <w:pPr>
        <w:pBdr/>
        <w:spacing/>
        <w:ind w:hanging="224" w:left="3599"/>
      </w:pPr>
      <w:rPr/>
      <w:start w:val="0"/>
      <w:suff w:val="tab"/>
    </w:lvl>
    <w:lvl w:ilvl="5">
      <w:isLgl w:val="false"/>
      <w:lvlJc w:val="left"/>
      <w:lvlText w:val="•"/>
      <w:numFmt w:val="bullet"/>
      <w:pPr>
        <w:pBdr/>
        <w:spacing/>
        <w:ind w:hanging="224" w:left="4464"/>
      </w:pPr>
      <w:rPr/>
      <w:start w:val="0"/>
      <w:suff w:val="tab"/>
    </w:lvl>
    <w:lvl w:ilvl="6">
      <w:isLgl w:val="false"/>
      <w:lvlJc w:val="left"/>
      <w:lvlText w:val="•"/>
      <w:numFmt w:val="bullet"/>
      <w:pPr>
        <w:pBdr/>
        <w:spacing/>
        <w:ind w:hanging="224" w:left="5329"/>
      </w:pPr>
      <w:rPr/>
      <w:start w:val="0"/>
      <w:suff w:val="tab"/>
    </w:lvl>
    <w:lvl w:ilvl="7">
      <w:isLgl w:val="false"/>
      <w:lvlJc w:val="left"/>
      <w:lvlText w:val="•"/>
      <w:numFmt w:val="bullet"/>
      <w:pPr>
        <w:pBdr/>
        <w:spacing/>
        <w:ind w:hanging="224" w:left="6193"/>
      </w:pPr>
      <w:rPr/>
      <w:start w:val="0"/>
      <w:suff w:val="tab"/>
    </w:lvl>
    <w:lvl w:ilvl="8">
      <w:isLgl w:val="false"/>
      <w:lvlJc w:val="left"/>
      <w:lvlText w:val="•"/>
      <w:numFmt w:val="bullet"/>
      <w:pPr>
        <w:pBdr/>
        <w:spacing/>
        <w:ind w:hanging="224" w:left="7058"/>
      </w:pPr>
      <w:rPr/>
      <w:start w:val="0"/>
      <w:suff w:val="tab"/>
    </w:lvl>
  </w:abstractNum>
  <w:abstractNum w:abstractNumId="11">
    <w:nsid w:val="3A86BAEF"/>
    <w:lvl w:ilvl="0">
      <w:isLgl w:val="false"/>
      <w:lvlJc w:val="left"/>
      <w:lvlText w:val="%1."/>
      <w:numFmt w:val="decimal"/>
      <w:pPr>
        <w:pBdr/>
        <w:spacing/>
        <w:ind/>
      </w:pPr>
      <w:rPr>
        <w:rFonts w:cs="Times New Roman"/>
      </w:rPr>
      <w:start w:val="10"/>
      <w:suff w:val="space"/>
    </w:lvl>
    <w:lvl w:ilvl="1">
      <w:isLgl w:val="false"/>
      <w:lvlJc w:val="left"/>
      <w:lvlText w:val="."/>
      <w:numFmt w:val="decimal"/>
      <w:pPr>
        <w:pBdr/>
        <w:spacing/>
        <w:ind/>
      </w:pPr>
      <w:rPr>
        <w:rFonts w:cs="Times New Roman"/>
      </w:rPr>
      <w:start w:val="1"/>
      <w:suff w:val="tab"/>
    </w:lvl>
    <w:lvl w:ilvl="2">
      <w:isLgl w:val="false"/>
      <w:lvlJc w:val="left"/>
      <w:lvlText w:val="."/>
      <w:numFmt w:val="decimal"/>
      <w:pPr>
        <w:pBdr/>
        <w:spacing/>
        <w:ind/>
      </w:pPr>
      <w:rPr>
        <w:rFonts w:cs="Times New Roman"/>
      </w:rPr>
      <w:start w:val="1"/>
      <w:suff w:val="tab"/>
    </w:lvl>
    <w:lvl w:ilvl="3">
      <w:isLgl w:val="false"/>
      <w:lvlJc w:val="left"/>
      <w:lvlText w:val="."/>
      <w:numFmt w:val="decimal"/>
      <w:pPr>
        <w:pBdr/>
        <w:spacing/>
        <w:ind/>
      </w:pPr>
      <w:rPr>
        <w:rFonts w:cs="Times New Roman"/>
      </w:rPr>
      <w:start w:val="1"/>
      <w:suff w:val="tab"/>
    </w:lvl>
    <w:lvl w:ilvl="4">
      <w:isLgl w:val="false"/>
      <w:lvlJc w:val="left"/>
      <w:lvlText w:val="."/>
      <w:numFmt w:val="decimal"/>
      <w:pPr>
        <w:pBdr/>
        <w:spacing/>
        <w:ind/>
      </w:pPr>
      <w:rPr>
        <w:rFonts w:cs="Times New Roman"/>
      </w:rPr>
      <w:start w:val="1"/>
      <w:suff w:val="tab"/>
    </w:lvl>
    <w:lvl w:ilvl="5">
      <w:isLgl w:val="false"/>
      <w:lvlJc w:val="left"/>
      <w:lvlText w:val="."/>
      <w:numFmt w:val="decimal"/>
      <w:pPr>
        <w:pBdr/>
        <w:spacing/>
        <w:ind/>
      </w:pPr>
      <w:rPr>
        <w:rFonts w:cs="Times New Roman"/>
      </w:rPr>
      <w:start w:val="1"/>
      <w:suff w:val="tab"/>
    </w:lvl>
    <w:lvl w:ilvl="6">
      <w:isLgl w:val="false"/>
      <w:lvlJc w:val="left"/>
      <w:lvlText w:val="."/>
      <w:numFmt w:val="decimal"/>
      <w:pPr>
        <w:pBdr/>
        <w:spacing/>
        <w:ind/>
      </w:pPr>
      <w:rPr>
        <w:rFonts w:cs="Times New Roman"/>
      </w:rPr>
      <w:start w:val="1"/>
      <w:suff w:val="tab"/>
    </w:lvl>
    <w:lvl w:ilvl="7">
      <w:isLgl w:val="false"/>
      <w:lvlJc w:val="left"/>
      <w:lvlText w:val="."/>
      <w:numFmt w:val="decimal"/>
      <w:pPr>
        <w:pBdr/>
        <w:spacing/>
        <w:ind/>
      </w:pPr>
      <w:rPr>
        <w:rFonts w:cs="Times New Roman"/>
      </w:rPr>
      <w:start w:val="1"/>
      <w:suff w:val="tab"/>
    </w:lvl>
    <w:lvl w:ilvl="8">
      <w:isLgl w:val="false"/>
      <w:lvlJc w:val="left"/>
      <w:lvlText w:val="."/>
      <w:numFmt w:val="decimal"/>
      <w:pPr>
        <w:pBdr/>
        <w:spacing/>
        <w:ind/>
      </w:pPr>
      <w:rPr>
        <w:rFonts w:cs="Times New Roman"/>
      </w:rPr>
      <w:start w:val="1"/>
      <w:suff w:val="tab"/>
    </w:lvl>
  </w:abstractNum>
  <w:abstractNum w:abstractNumId="12">
    <w:nsid w:val="55CA60A4"/>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nsid w:val="63A4587D"/>
    <w:lvl w:ilvl="0">
      <w:isLgl w:val="false"/>
      <w:lvlJc w:val="left"/>
      <w:lvlText w:val="%1)"/>
      <w:numFmt w:val="lowerLetter"/>
      <w:pPr>
        <w:pBdr/>
        <w:spacing/>
        <w:ind w:hanging="224" w:left="143"/>
      </w:pPr>
      <w:rPr>
        <w:rFonts w:ascii="Arial" w:hAnsi="Arial" w:eastAsia="Times New Roman" w:cs="Arial"/>
        <w:b/>
        <w:spacing w:val="-1"/>
        <w:sz w:val="20"/>
        <w:szCs w:val="20"/>
      </w:rPr>
      <w:start w:val="1"/>
      <w:suff w:val="tab"/>
    </w:lvl>
    <w:lvl w:ilvl="1">
      <w:isLgl w:val="false"/>
      <w:lvlJc w:val="left"/>
      <w:lvlText w:val="•"/>
      <w:numFmt w:val="bullet"/>
      <w:pPr>
        <w:pBdr/>
        <w:spacing/>
        <w:ind w:hanging="224" w:left="1004"/>
      </w:pPr>
      <w:rPr/>
      <w:start w:val="0"/>
      <w:suff w:val="tab"/>
    </w:lvl>
    <w:lvl w:ilvl="2">
      <w:isLgl w:val="false"/>
      <w:lvlJc w:val="left"/>
      <w:lvlText w:val="•"/>
      <w:numFmt w:val="bullet"/>
      <w:pPr>
        <w:pBdr/>
        <w:spacing/>
        <w:ind w:hanging="224" w:left="1869"/>
      </w:pPr>
      <w:rPr/>
      <w:start w:val="0"/>
      <w:suff w:val="tab"/>
    </w:lvl>
    <w:lvl w:ilvl="3">
      <w:isLgl w:val="false"/>
      <w:lvlJc w:val="left"/>
      <w:lvlText w:val="•"/>
      <w:numFmt w:val="bullet"/>
      <w:pPr>
        <w:pBdr/>
        <w:spacing/>
        <w:ind w:hanging="224" w:left="2734"/>
      </w:pPr>
      <w:rPr/>
      <w:start w:val="0"/>
      <w:suff w:val="tab"/>
    </w:lvl>
    <w:lvl w:ilvl="4">
      <w:isLgl w:val="false"/>
      <w:lvlJc w:val="left"/>
      <w:lvlText w:val="•"/>
      <w:numFmt w:val="bullet"/>
      <w:pPr>
        <w:pBdr/>
        <w:spacing/>
        <w:ind w:hanging="224" w:left="3599"/>
      </w:pPr>
      <w:rPr/>
      <w:start w:val="0"/>
      <w:suff w:val="tab"/>
    </w:lvl>
    <w:lvl w:ilvl="5">
      <w:isLgl w:val="false"/>
      <w:lvlJc w:val="left"/>
      <w:lvlText w:val="•"/>
      <w:numFmt w:val="bullet"/>
      <w:pPr>
        <w:pBdr/>
        <w:spacing/>
        <w:ind w:hanging="224" w:left="4464"/>
      </w:pPr>
      <w:rPr/>
      <w:start w:val="0"/>
      <w:suff w:val="tab"/>
    </w:lvl>
    <w:lvl w:ilvl="6">
      <w:isLgl w:val="false"/>
      <w:lvlJc w:val="left"/>
      <w:lvlText w:val="•"/>
      <w:numFmt w:val="bullet"/>
      <w:pPr>
        <w:pBdr/>
        <w:spacing/>
        <w:ind w:hanging="224" w:left="5329"/>
      </w:pPr>
      <w:rPr/>
      <w:start w:val="0"/>
      <w:suff w:val="tab"/>
    </w:lvl>
    <w:lvl w:ilvl="7">
      <w:isLgl w:val="false"/>
      <w:lvlJc w:val="left"/>
      <w:lvlText w:val="•"/>
      <w:numFmt w:val="bullet"/>
      <w:pPr>
        <w:pBdr/>
        <w:spacing/>
        <w:ind w:hanging="224" w:left="6193"/>
      </w:pPr>
      <w:rPr/>
      <w:start w:val="0"/>
      <w:suff w:val="tab"/>
    </w:lvl>
    <w:lvl w:ilvl="8">
      <w:isLgl w:val="false"/>
      <w:lvlJc w:val="left"/>
      <w:lvlText w:val="•"/>
      <w:numFmt w:val="bullet"/>
      <w:pPr>
        <w:pBdr/>
        <w:spacing/>
        <w:ind w:hanging="224" w:left="7058"/>
      </w:pPr>
      <w:rPr/>
      <w:start w:val="0"/>
      <w:suff w:val="tab"/>
    </w:lvl>
  </w:abstractNum>
  <w:abstractNum w:abstractNumId="14">
    <w:nsid w:val="7A4BC8AC"/>
    <w:lvl w:ilvl="0">
      <w:isLgl w:val="false"/>
      <w:lvlJc w:val="left"/>
      <w:lvlText w:val="%1."/>
      <w:numFmt w:val="decimal"/>
      <w:pPr>
        <w:pBdr/>
        <w:spacing/>
        <w:ind/>
      </w:pPr>
      <w:rPr>
        <w:rFonts w:cs="Times New Roman"/>
      </w:rPr>
      <w:start w:val="14"/>
      <w:suff w:val="space"/>
    </w:lvl>
    <w:lvl w:ilvl="1">
      <w:isLgl w:val="false"/>
      <w:lvlJc w:val="left"/>
      <w:lvlText w:val="."/>
      <w:numFmt w:val="decimal"/>
      <w:pPr>
        <w:pBdr/>
        <w:spacing/>
        <w:ind/>
      </w:pPr>
      <w:rPr>
        <w:rFonts w:cs="Times New Roman"/>
      </w:rPr>
      <w:start w:val="1"/>
      <w:suff w:val="tab"/>
    </w:lvl>
    <w:lvl w:ilvl="2">
      <w:isLgl w:val="false"/>
      <w:lvlJc w:val="left"/>
      <w:lvlText w:val="."/>
      <w:numFmt w:val="decimal"/>
      <w:pPr>
        <w:pBdr/>
        <w:spacing/>
        <w:ind/>
      </w:pPr>
      <w:rPr>
        <w:rFonts w:cs="Times New Roman"/>
      </w:rPr>
      <w:start w:val="1"/>
      <w:suff w:val="tab"/>
    </w:lvl>
    <w:lvl w:ilvl="3">
      <w:isLgl w:val="false"/>
      <w:lvlJc w:val="left"/>
      <w:lvlText w:val="."/>
      <w:numFmt w:val="decimal"/>
      <w:pPr>
        <w:pBdr/>
        <w:spacing/>
        <w:ind/>
      </w:pPr>
      <w:rPr>
        <w:rFonts w:cs="Times New Roman"/>
      </w:rPr>
      <w:start w:val="1"/>
      <w:suff w:val="tab"/>
    </w:lvl>
    <w:lvl w:ilvl="4">
      <w:isLgl w:val="false"/>
      <w:lvlJc w:val="left"/>
      <w:lvlText w:val="."/>
      <w:numFmt w:val="decimal"/>
      <w:pPr>
        <w:pBdr/>
        <w:spacing/>
        <w:ind/>
      </w:pPr>
      <w:rPr>
        <w:rFonts w:cs="Times New Roman"/>
      </w:rPr>
      <w:start w:val="1"/>
      <w:suff w:val="tab"/>
    </w:lvl>
    <w:lvl w:ilvl="5">
      <w:isLgl w:val="false"/>
      <w:lvlJc w:val="left"/>
      <w:lvlText w:val="."/>
      <w:numFmt w:val="decimal"/>
      <w:pPr>
        <w:pBdr/>
        <w:spacing/>
        <w:ind/>
      </w:pPr>
      <w:rPr>
        <w:rFonts w:cs="Times New Roman"/>
      </w:rPr>
      <w:start w:val="1"/>
      <w:suff w:val="tab"/>
    </w:lvl>
    <w:lvl w:ilvl="6">
      <w:isLgl w:val="false"/>
      <w:lvlJc w:val="left"/>
      <w:lvlText w:val="."/>
      <w:numFmt w:val="decimal"/>
      <w:pPr>
        <w:pBdr/>
        <w:spacing/>
        <w:ind/>
      </w:pPr>
      <w:rPr>
        <w:rFonts w:cs="Times New Roman"/>
      </w:rPr>
      <w:start w:val="1"/>
      <w:suff w:val="tab"/>
    </w:lvl>
    <w:lvl w:ilvl="7">
      <w:isLgl w:val="false"/>
      <w:lvlJc w:val="left"/>
      <w:lvlText w:val="."/>
      <w:numFmt w:val="decimal"/>
      <w:pPr>
        <w:pBdr/>
        <w:spacing/>
        <w:ind/>
      </w:pPr>
      <w:rPr>
        <w:rFonts w:cs="Times New Roman"/>
      </w:rPr>
      <w:start w:val="1"/>
      <w:suff w:val="tab"/>
    </w:lvl>
    <w:lvl w:ilvl="8">
      <w:isLgl w:val="false"/>
      <w:lvlJc w:val="left"/>
      <w:lvlText w:val="."/>
      <w:numFmt w:val="decimal"/>
      <w:pPr>
        <w:pBdr/>
        <w:spacing/>
        <w:ind/>
      </w:pPr>
      <w:rPr>
        <w:rFonts w:cs="Times New Roman"/>
      </w:rPr>
      <w:start w:val="1"/>
      <w:suff w:val="tab"/>
    </w:lvl>
  </w:abstractNum>
  <w:num w:numId="1">
    <w:abstractNumId w:val="2"/>
  </w:num>
  <w:num w:numId="2">
    <w:abstractNumId w:val="13"/>
  </w:num>
  <w:num w:numId="3">
    <w:abstractNumId w:val="12"/>
  </w:num>
  <w:num w:numId="4">
    <w:abstractNumId w:val="7"/>
  </w:num>
  <w:num w:numId="5">
    <w:abstractNumId w:val="3"/>
  </w:num>
  <w:num w:numId="6">
    <w:abstractNumId w:val="1"/>
  </w:num>
  <w:num w:numId="7">
    <w:abstractNumId w:val="0"/>
  </w:num>
  <w:num w:numId="8">
    <w:abstractNumId w:val="11"/>
  </w:num>
  <w:num w:numId="9">
    <w:abstractNumId w:val="14"/>
  </w:num>
  <w:num w:numId="10">
    <w:abstractNumId w:val="8"/>
  </w:num>
  <w:num w:numId="11">
    <w:abstractNumId w:val="4"/>
  </w:num>
  <w:num w:numId="12">
    <w:abstractNumId w:val="9"/>
  </w:num>
  <w:num w:numId="13">
    <w:abstractNumId w:val="6"/>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balanceSingleByteDoubleByteWidth w:val="true"/>
    <w:ulTrailSpace w:val="true"/>
    <w:doNotExpandShiftReturn w:val="true"/>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SimSun" w:cs="Times New Roman"/>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2">
    <w:name w:val="Table Grid"/>
    <w:basedOn w:val="8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Table Grid Light"/>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0e4f5"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19739b"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2ab8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196c24"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60cbf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c0e4f5" w:themeFill="accent1" w:themeFillTint="34"/>
    </w:tblPr>
    <w:tcPr>
      <w:tcBorders/>
    </w:tcPr>
    <w:tblStylePr w:type="band1Horz">
      <w:pPr>
        <w:pBdr/>
        <w:spacing/>
        <w:ind/>
      </w:pPr>
      <w:tblPr>
        <w:tblBorders/>
      </w:tblPr>
      <w:tcPr>
        <w:shd w:val="clear" w:color="ffffff" w:themeColor="accent1" w:themeTint="75" w:fill="71c3e8" w:themeFill="accent1" w:themeFillTint="75"/>
        <w:tcBorders/>
      </w:tcPr>
    </w:tblStylePr>
    <w:tblStylePr w:type="band1Vert">
      <w:pPr>
        <w:pBdr/>
        <w:spacing/>
        <w:ind/>
      </w:pPr>
      <w:tblPr>
        <w:tblBorders/>
      </w:tblPr>
      <w:tcPr>
        <w:shd w:val="clear" w:color="ffffff" w:themeColor="accent1" w:themeTint="75" w:fill="71c3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156082" w:themeFill="accent1"/>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rFonts w:ascii="Arial" w:hAnsi="Arial"/>
        <w:b/>
        <w:color w:val="ffffff"/>
        <w:sz w:val="22"/>
      </w:rPr>
      <w:pPr>
        <w:pBdr/>
        <w:spacing/>
        <w:ind/>
      </w:pPr>
      <w:tblPr>
        <w:tblBorders/>
      </w:tblPr>
      <w:tcPr>
        <w:shd w:val="clear" w:color="ffffff" w:themeColor="accent1" w:fill="156082" w:themeFill="accent1"/>
        <w:tcBorders/>
      </w:tcPr>
    </w:tblStylePr>
    <w:tblStylePr w:type="lastRow">
      <w:rPr>
        <w:rFonts w:ascii="Arial" w:hAnsi="Arial"/>
        <w:b/>
        <w:color w:val="ffffff"/>
        <w:sz w:val="22"/>
      </w:rPr>
      <w:pPr>
        <w:pBdr/>
        <w:spacing/>
        <w:ind/>
      </w:pPr>
      <w:tblPr>
        <w:tblBorders/>
      </w:tblPr>
      <w:tcPr>
        <w:shd w:val="clear" w:color="ffffff" w:themeColor="accent1" w:fill="156082"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3d7" w:themeFill="accent2" w:themeFillTint="32"/>
    </w:tblPr>
    <w:tcPr>
      <w:tcBorders/>
    </w:tcPr>
    <w:tblStylePr w:type="band1Horz">
      <w:pPr>
        <w:pBdr/>
        <w:spacing/>
        <w:ind/>
      </w:pPr>
      <w:tblPr>
        <w:tblBorders/>
      </w:tblPr>
      <w:tcPr>
        <w:shd w:val="clear" w:color="ffffff" w:themeColor="accent2" w:themeTint="75" w:fill="f5bea1" w:themeFill="accent2" w:themeFillTint="75"/>
        <w:tcBorders/>
      </w:tcPr>
    </w:tblStylePr>
    <w:tblStylePr w:type="band1Vert">
      <w:pPr>
        <w:pBdr/>
        <w:spacing/>
        <w:ind/>
      </w:pPr>
      <w:tblPr>
        <w:tblBorders/>
      </w:tblPr>
      <w:tcPr>
        <w:shd w:val="clear" w:color="ffffff" w:themeColor="accent2" w:themeTint="75" w:fill="f5be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97132" w:themeFill="accent2"/>
        <w:tcBorders/>
      </w:tcPr>
    </w:tblStylePr>
    <w:tblStylePr w:type="firstRow">
      <w:rPr>
        <w:rFonts w:ascii="Arial" w:hAnsi="Arial"/>
        <w:b/>
        <w:color w:val="ffffff"/>
        <w:sz w:val="22"/>
      </w:rPr>
      <w:pPr>
        <w:pBdr/>
        <w:spacing/>
        <w:ind/>
      </w:pPr>
      <w:tblPr>
        <w:tblBorders/>
      </w:tblPr>
      <w:tcPr>
        <w:shd w:val="clear" w:color="ffffff" w:themeColor="accent2" w:fill="e97132" w:themeFill="accent2"/>
        <w:tcBorders/>
      </w:tcPr>
    </w:tblStylePr>
    <w:tblStylePr w:type="lastCol">
      <w:rPr>
        <w:rFonts w:ascii="Arial" w:hAnsi="Arial"/>
        <w:b/>
        <w:color w:val="ffffff"/>
        <w:sz w:val="22"/>
      </w:rPr>
      <w:pPr>
        <w:pBdr/>
        <w:spacing/>
        <w:ind/>
      </w:pPr>
      <w:tblPr>
        <w:tblBorders/>
      </w:tblPr>
      <w:tcPr>
        <w:shd w:val="clear" w:color="ffffff" w:themeColor="accent2" w:fill="e97132" w:themeFill="accent2"/>
        <w:tcBorders/>
      </w:tcPr>
    </w:tblStylePr>
    <w:tblStylePr w:type="lastRow">
      <w:rPr>
        <w:rFonts w:ascii="Arial" w:hAnsi="Arial"/>
        <w:b/>
        <w:color w:val="ffffff"/>
        <w:sz w:val="22"/>
      </w:rPr>
      <w:pPr>
        <w:pBdr/>
        <w:spacing/>
        <w:ind/>
      </w:pPr>
      <w:tblPr>
        <w:tblBorders/>
      </w:tblPr>
      <w:tcPr>
        <w:shd w:val="clear" w:color="ffffff" w:themeColor="accent2" w:fill="e97132"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c1f0c7" w:themeFill="accent3" w:themeFillTint="34"/>
    </w:tblPr>
    <w:tcPr>
      <w:tcBorders/>
    </w:tcPr>
    <w:tblStylePr w:type="band1Horz">
      <w:pPr>
        <w:pBdr/>
        <w:spacing/>
        <w:ind/>
      </w:pPr>
      <w:tblPr>
        <w:tblBorders/>
      </w:tblPr>
      <w:tcPr>
        <w:shd w:val="clear" w:color="ffffff" w:themeColor="accent3" w:themeTint="75" w:fill="72de81" w:themeFill="accent3" w:themeFillTint="75"/>
        <w:tcBorders/>
      </w:tcPr>
    </w:tblStylePr>
    <w:tblStylePr w:type="band1Vert">
      <w:pPr>
        <w:pBdr/>
        <w:spacing/>
        <w:ind/>
      </w:pPr>
      <w:tblPr>
        <w:tblBorders/>
      </w:tblPr>
      <w:tcPr>
        <w:shd w:val="clear" w:color="ffffff" w:themeColor="accent3" w:themeTint="75" w:fill="72de81"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196b24" w:themeFill="accent3"/>
        <w:tcBorders/>
      </w:tcPr>
    </w:tblStylePr>
    <w:tblStylePr w:type="firstRow">
      <w:rPr>
        <w:rFonts w:ascii="Arial" w:hAnsi="Arial"/>
        <w:b/>
        <w:color w:val="ffffff"/>
        <w:sz w:val="22"/>
      </w:rPr>
      <w:pPr>
        <w:pBdr/>
        <w:spacing/>
        <w:ind/>
      </w:pPr>
      <w:tblPr>
        <w:tblBorders/>
      </w:tblPr>
      <w:tcPr>
        <w:shd w:val="clear" w:color="ffffff" w:themeColor="accent3" w:fill="196b24" w:themeFill="accent3"/>
        <w:tcBorders/>
      </w:tcPr>
    </w:tblStylePr>
    <w:tblStylePr w:type="lastCol">
      <w:rPr>
        <w:rFonts w:ascii="Arial" w:hAnsi="Arial"/>
        <w:b/>
        <w:color w:val="ffffff"/>
        <w:sz w:val="22"/>
      </w:rPr>
      <w:pPr>
        <w:pBdr/>
        <w:spacing/>
        <w:ind/>
      </w:pPr>
      <w:tblPr>
        <w:tblBorders/>
      </w:tblPr>
      <w:tcPr>
        <w:shd w:val="clear" w:color="ffffff" w:themeColor="accent3" w:fill="196b24" w:themeFill="accent3"/>
        <w:tcBorders/>
      </w:tcPr>
    </w:tblStylePr>
    <w:tblStylePr w:type="lastRow">
      <w:rPr>
        <w:rFonts w:ascii="Arial" w:hAnsi="Arial"/>
        <w:b/>
        <w:color w:val="ffffff"/>
        <w:sz w:val="22"/>
      </w:rPr>
      <w:pPr>
        <w:pBdr/>
        <w:spacing/>
        <w:ind/>
      </w:pPr>
      <w:tblPr>
        <w:tblBorders/>
      </w:tblPr>
      <w:tcPr>
        <w:shd w:val="clear" w:color="ffffff" w:themeColor="accent3" w:fill="196b24"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9edfb" w:themeFill="accent4" w:themeFillTint="34"/>
    </w:tblPr>
    <w:tcPr>
      <w:tcBorders/>
    </w:tcPr>
    <w:tblStylePr w:type="band1Horz">
      <w:pPr>
        <w:pBdr/>
        <w:spacing/>
        <w:ind/>
      </w:pPr>
      <w:tblPr>
        <w:tblBorders/>
      </w:tblPr>
      <w:tcPr>
        <w:shd w:val="clear" w:color="ffffff" w:themeColor="accent4" w:themeTint="75" w:fill="86d7f6" w:themeFill="accent4" w:themeFillTint="75"/>
        <w:tcBorders/>
      </w:tcPr>
    </w:tblStylePr>
    <w:tblStylePr w:type="band1Vert">
      <w:pPr>
        <w:pBdr/>
        <w:spacing/>
        <w:ind/>
      </w:pPr>
      <w:tblPr>
        <w:tblBorders/>
      </w:tblPr>
      <w:tcPr>
        <w:shd w:val="clear" w:color="ffffff" w:themeColor="accent4" w:themeTint="75" w:fill="86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0f9ed5" w:themeFill="accent4"/>
        <w:tcBorders/>
      </w:tcPr>
    </w:tblStylePr>
    <w:tblStylePr w:type="firstRow">
      <w:rPr>
        <w:rFonts w:ascii="Arial" w:hAnsi="Arial"/>
        <w:b/>
        <w:color w:val="ffffff"/>
        <w:sz w:val="22"/>
      </w:rPr>
      <w:pPr>
        <w:pBdr/>
        <w:spacing/>
        <w:ind/>
      </w:pPr>
      <w:tblPr>
        <w:tblBorders/>
      </w:tblPr>
      <w:tcPr>
        <w:shd w:val="clear" w:color="ffffff" w:themeColor="accent4" w:fill="0f9ed5" w:themeFill="accent4"/>
        <w:tcBorders/>
      </w:tcPr>
    </w:tblStylePr>
    <w:tblStylePr w:type="lastCol">
      <w:rPr>
        <w:rFonts w:ascii="Arial" w:hAnsi="Arial"/>
        <w:b/>
        <w:color w:val="ffffff"/>
        <w:sz w:val="22"/>
      </w:rPr>
      <w:pPr>
        <w:pBdr/>
        <w:spacing/>
        <w:ind/>
      </w:pPr>
      <w:tblPr>
        <w:tblBorders/>
      </w:tblPr>
      <w:tcPr>
        <w:shd w:val="clear" w:color="ffffff" w:themeColor="accent4" w:fill="0f9ed5" w:themeFill="accent4"/>
        <w:tcBorders/>
      </w:tcPr>
    </w:tblStylePr>
    <w:tblStylePr w:type="lastRow">
      <w:rPr>
        <w:rFonts w:ascii="Arial" w:hAnsi="Arial"/>
        <w:b/>
        <w:color w:val="ffffff"/>
        <w:sz w:val="22"/>
      </w:rPr>
      <w:pPr>
        <w:pBdr/>
        <w:spacing/>
        <w:ind/>
      </w:pPr>
      <w:tblPr>
        <w:tblBorders/>
      </w:tblPr>
      <w:tcPr>
        <w:shd w:val="clear" w:color="ffffff" w:themeColor="accent4" w:fill="0f9ed5"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f2ceee" w:themeFill="accent5" w:themeFillTint="34"/>
    </w:tblPr>
    <w:tcPr>
      <w:tcBorders/>
    </w:tcPr>
    <w:tblStylePr w:type="band1Horz">
      <w:pPr>
        <w:pBdr/>
        <w:spacing/>
        <w:ind/>
      </w:pPr>
      <w:tblPr>
        <w:tblBorders/>
      </w:tblPr>
      <w:tcPr>
        <w:shd w:val="clear" w:color="ffffff" w:themeColor="accent5" w:themeTint="75" w:fill="e190d8" w:themeFill="accent5" w:themeFillTint="75"/>
        <w:tcBorders/>
      </w:tcPr>
    </w:tblStylePr>
    <w:tblStylePr w:type="band1Vert">
      <w:pPr>
        <w:pBdr/>
        <w:spacing/>
        <w:ind/>
      </w:pPr>
      <w:tblPr>
        <w:tblBorders/>
      </w:tblPr>
      <w:tcPr>
        <w:shd w:val="clear" w:color="ffffff" w:themeColor="accent5" w:themeTint="75" w:fill="e190d8"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a02b93" w:themeFill="accent5"/>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cPr>
    </w:tblStylePr>
    <w:tblStylePr w:type="lastCol">
      <w:rPr>
        <w:rFonts w:ascii="Arial" w:hAnsi="Arial"/>
        <w:b/>
        <w:color w:val="ffffff"/>
        <w:sz w:val="22"/>
      </w:rPr>
      <w:pPr>
        <w:pBdr/>
        <w:spacing/>
        <w:ind/>
      </w:pPr>
      <w:tblPr>
        <w:tblBorders/>
      </w:tblPr>
      <w:tcPr>
        <w:shd w:val="clear" w:color="ffffff" w:themeColor="accent5" w:fill="a02b93" w:themeFill="accent5"/>
        <w:tcBorders/>
      </w:tcPr>
    </w:tblStylePr>
    <w:tblStylePr w:type="lastRow">
      <w:rPr>
        <w:rFonts w:ascii="Arial" w:hAnsi="Arial"/>
        <w:b/>
        <w:color w:val="ffffff"/>
        <w:sz w:val="22"/>
      </w:rPr>
      <w:pPr>
        <w:pBdr/>
        <w:spacing/>
        <w:ind/>
      </w:pPr>
      <w:tblPr>
        <w:tblBorders/>
      </w:tblPr>
      <w:tcPr>
        <w:shd w:val="clear" w:color="ffffff" w:themeColor="accent5" w:fill="a02b93"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d9f2d0" w:themeFill="accent6" w:themeFillTint="34"/>
    </w:tblPr>
    <w:tcPr>
      <w:tcBorders/>
    </w:tcPr>
    <w:tblStylePr w:type="band1Horz">
      <w:pPr>
        <w:pBdr/>
        <w:spacing/>
        <w:ind/>
      </w:pPr>
      <w:tblPr>
        <w:tblBorders/>
      </w:tblPr>
      <w:tcPr>
        <w:shd w:val="clear" w:color="ffffff" w:themeColor="accent6" w:themeTint="75" w:fill="a9e294" w:themeFill="accent6" w:themeFillTint="75"/>
        <w:tcBorders/>
      </w:tcPr>
    </w:tblStylePr>
    <w:tblStylePr w:type="band1Vert">
      <w:pPr>
        <w:pBdr/>
        <w:spacing/>
        <w:ind/>
      </w:pPr>
      <w:tblPr>
        <w:tblBorders/>
      </w:tblPr>
      <w:tcPr>
        <w:shd w:val="clear" w:color="ffffff" w:themeColor="accent6" w:themeTint="75" w:fill="a9e2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4ea72e" w:themeFill="accent6"/>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cPr>
    </w:tblStylePr>
    <w:tblStylePr w:type="lastCol">
      <w:rPr>
        <w:rFonts w:ascii="Arial" w:hAnsi="Arial"/>
        <w:b/>
        <w:color w:val="ffffff"/>
        <w:sz w:val="22"/>
      </w:rPr>
      <w:pPr>
        <w:pBdr/>
        <w:spacing/>
        <w:ind/>
      </w:pPr>
      <w:tblPr>
        <w:tblBorders/>
      </w:tblPr>
      <w:tcPr>
        <w:shd w:val="clear" w:color="ffffff" w:themeColor="accent6" w:fill="4ea72e" w:themeFill="accent6"/>
        <w:tcBorders/>
      </w:tcPr>
    </w:tblStylePr>
    <w:tblStylePr w:type="lastRow">
      <w:rPr>
        <w:rFonts w:ascii="Arial" w:hAnsi="Arial"/>
        <w:b/>
        <w:color w:val="ffffff"/>
        <w:sz w:val="22"/>
      </w:rPr>
      <w:pPr>
        <w:pBdr/>
        <w:spacing/>
        <w:ind/>
      </w:pPr>
      <w:tblPr>
        <w:tblBorders/>
      </w:tblPr>
      <w:tcPr>
        <w:shd w:val="clear" w:color="ffffff" w:themeColor="accent6" w:fill="4ea72e"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c0e4f5" w:themeFill="accent1" w:themeFillTint="34"/>
        <w:tcBorders/>
      </w:tcPr>
    </w:tblStylePr>
    <w:tblStylePr w:type="band1Vert">
      <w:pPr>
        <w:pBdr/>
        <w:spacing/>
        <w:ind/>
      </w:pPr>
      <w:tblPr>
        <w:tblBorders/>
      </w:tblPr>
      <w:tcPr>
        <w:shd w:val="clear" w:color="ffffff" w:themeColor="accent1" w:themeTint="34" w:fill="c0e4f5"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b7ba6" w:themeColor="accent1" w:themeTint="80" w:themeShade="95"/>
      </w:rPr>
      <w:pPr>
        <w:pBdr/>
        <w:spacing/>
        <w:ind/>
      </w:pPr>
      <w:tblPr>
        <w:tblBorders/>
      </w:tblPr>
      <w:tcPr>
        <w:tcBorders/>
      </w:tcPr>
    </w:tblStylePr>
    <w:tblStylePr w:type="firstRow">
      <w:rPr>
        <w:b/>
        <w:color w:val="1b7ba6" w:themeColor="accent1" w:themeTint="80" w:themeShade="95"/>
      </w:rPr>
      <w:pPr>
        <w:pBdr/>
        <w:spacing/>
        <w:ind/>
      </w:pPr>
      <w:tblPr>
        <w:tblBorders/>
      </w:tblPr>
      <w:tcPr>
        <w:tcBorders>
          <w:bottom w:val="single" w:color="000000" w:themeColor="accent1" w:themeTint="80" w:sz="12" w:space="0"/>
        </w:tcBorders>
      </w:tcPr>
    </w:tblStylePr>
    <w:tblStylePr w:type="lastCol">
      <w:rPr>
        <w:b/>
        <w:color w:val="1b7ba6" w:themeColor="accent1" w:themeTint="80" w:themeShade="95"/>
      </w:rPr>
      <w:pPr>
        <w:pBdr/>
        <w:spacing/>
        <w:ind/>
      </w:pPr>
      <w:tblPr>
        <w:tblBorders/>
      </w:tblPr>
      <w:tcPr>
        <w:tcBorders/>
      </w:tcPr>
    </w:tblStylePr>
    <w:tblStylePr w:type="lastRow">
      <w:rPr>
        <w:b/>
        <w:color w:val="1b7ba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3d7" w:themeFill="accent2" w:themeFillTint="32"/>
        <w:tcBorders/>
      </w:tcPr>
    </w:tblStylePr>
    <w:tblStylePr w:type="band1Vert">
      <w:pPr>
        <w:pBdr/>
        <w:spacing/>
        <w:ind/>
      </w:pPr>
      <w:tblPr>
        <w:tblBorders/>
      </w:tblPr>
      <w:tcPr>
        <w:shd w:val="clear" w:color="ffffff" w:themeColor="accent2" w:themeTint="32" w:fill="fbe3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5215" w:themeColor="accent2" w:themeTint="97" w:themeShade="95"/>
      </w:rPr>
      <w:pPr>
        <w:pBdr/>
        <w:spacing/>
        <w:ind/>
      </w:pPr>
      <w:tblPr>
        <w:tblBorders/>
      </w:tblPr>
      <w:tcPr>
        <w:tcBorders/>
      </w:tcPr>
    </w:tblStylePr>
    <w:tblStylePr w:type="firstRow">
      <w:rPr>
        <w:b/>
        <w:color w:val="c65215" w:themeColor="accent2" w:themeTint="97" w:themeShade="95"/>
      </w:rPr>
      <w:pPr>
        <w:pBdr/>
        <w:spacing/>
        <w:ind/>
      </w:pPr>
      <w:tblPr>
        <w:tblBorders/>
      </w:tblPr>
      <w:tcPr>
        <w:tcBorders>
          <w:bottom w:val="single" w:color="000000" w:themeColor="accent2" w:themeTint="97" w:sz="12" w:space="0"/>
        </w:tcBorders>
      </w:tcPr>
    </w:tblStylePr>
    <w:tblStylePr w:type="lastCol">
      <w:rPr>
        <w:b/>
        <w:color w:val="c65215" w:themeColor="accent2" w:themeTint="97" w:themeShade="95"/>
      </w:rPr>
      <w:pPr>
        <w:pBdr/>
        <w:spacing/>
        <w:ind/>
      </w:pPr>
      <w:tblPr>
        <w:tblBorders/>
      </w:tblPr>
      <w:tcPr>
        <w:tcBorders/>
      </w:tcPr>
    </w:tblStylePr>
    <w:tblStylePr w:type="lastRow">
      <w:rPr>
        <w:b/>
        <w:color w:val="c6521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c1f0c7" w:themeFill="accent3" w:themeFillTint="34"/>
        <w:tcBorders/>
      </w:tcPr>
    </w:tblStylePr>
    <w:tblStylePr w:type="band1Vert">
      <w:pPr>
        <w:pBdr/>
        <w:spacing/>
        <w:ind/>
      </w:pPr>
      <w:tblPr>
        <w:tblBorders/>
      </w:tblPr>
      <w:tcPr>
        <w:shd w:val="clear" w:color="ffffff" w:themeColor="accent3" w:themeTint="34" w:fill="c1f0c7"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3f15" w:themeColor="accent3" w:themeTint="FE" w:themeShade="95"/>
      </w:rPr>
      <w:pPr>
        <w:pBdr/>
        <w:spacing/>
        <w:ind/>
      </w:pPr>
      <w:tblPr>
        <w:tblBorders/>
      </w:tblPr>
      <w:tcPr>
        <w:tcBorders/>
      </w:tcPr>
    </w:tblStylePr>
    <w:tblStylePr w:type="firstRow">
      <w:rPr>
        <w:b/>
        <w:color w:val="0f3f15" w:themeColor="accent3" w:themeTint="FE" w:themeShade="95"/>
      </w:rPr>
      <w:pPr>
        <w:pBdr/>
        <w:spacing/>
        <w:ind/>
      </w:pPr>
      <w:tblPr>
        <w:tblBorders/>
      </w:tblPr>
      <w:tcPr>
        <w:tcBorders>
          <w:bottom w:val="single" w:color="000000" w:themeColor="accent3" w:themeTint="FE" w:sz="12" w:space="0"/>
        </w:tcBorders>
      </w:tcPr>
    </w:tblStylePr>
    <w:tblStylePr w:type="lastCol">
      <w:rPr>
        <w:b/>
        <w:color w:val="0f3f15" w:themeColor="accent3" w:themeTint="FE" w:themeShade="95"/>
      </w:rPr>
      <w:pPr>
        <w:pBdr/>
        <w:spacing/>
        <w:ind/>
      </w:pPr>
      <w:tblPr>
        <w:tblBorders/>
      </w:tblPr>
      <w:tcPr>
        <w:tcBorders/>
      </w:tcPr>
    </w:tblStylePr>
    <w:tblStylePr w:type="lastRow">
      <w:rPr>
        <w:b/>
        <w:color w:val="0f3f1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c9edfb" w:themeFill="accent4" w:themeFillTint="34"/>
        <w:tcBorders/>
      </w:tcPr>
    </w:tblStylePr>
    <w:tblStylePr w:type="band1Vert">
      <w:pPr>
        <w:pBdr/>
        <w:spacing/>
        <w:ind/>
      </w:pPr>
      <w:tblPr>
        <w:tblBorders/>
      </w:tblPr>
      <w:tcPr>
        <w:shd w:val="clear" w:color="ffffff" w:themeColor="accent4" w:themeTint="34" w:fill="c9edf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d8ab9" w:themeColor="accent4" w:themeTint="9A" w:themeShade="95"/>
      </w:rPr>
      <w:pPr>
        <w:pBdr/>
        <w:spacing/>
        <w:ind/>
      </w:pPr>
      <w:tblPr>
        <w:tblBorders/>
      </w:tblPr>
      <w:tcPr>
        <w:tcBorders/>
      </w:tcPr>
    </w:tblStylePr>
    <w:tblStylePr w:type="firstRow">
      <w:rPr>
        <w:b/>
        <w:color w:val="0d8ab9" w:themeColor="accent4" w:themeTint="9A" w:themeShade="95"/>
      </w:rPr>
      <w:pPr>
        <w:pBdr/>
        <w:spacing/>
        <w:ind/>
      </w:pPr>
      <w:tblPr>
        <w:tblBorders/>
      </w:tblPr>
      <w:tcPr>
        <w:tcBorders>
          <w:bottom w:val="single" w:color="000000" w:themeColor="accent4" w:themeTint="9A" w:sz="12" w:space="0"/>
        </w:tcBorders>
      </w:tcPr>
    </w:tblStylePr>
    <w:tblStylePr w:type="lastCol">
      <w:rPr>
        <w:b/>
        <w:color w:val="0d8ab9" w:themeColor="accent4" w:themeTint="9A" w:themeShade="95"/>
      </w:rPr>
      <w:pPr>
        <w:pBdr/>
        <w:spacing/>
        <w:ind/>
      </w:pPr>
      <w:tblPr>
        <w:tblBorders/>
      </w:tblPr>
      <w:tcPr>
        <w:tcBorders/>
      </w:tcPr>
    </w:tblStylePr>
    <w:tblStylePr w:type="lastRow">
      <w:rPr>
        <w:b/>
        <w:color w:val="0d8ab9"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f2ceee" w:themeFill="accent5" w:themeFillTint="34"/>
        <w:tcBorders/>
      </w:tcPr>
    </w:tblStylePr>
    <w:tblStylePr w:type="band1Vert">
      <w:pPr>
        <w:pBdr/>
        <w:spacing/>
        <w:ind/>
      </w:pPr>
      <w:tblPr>
        <w:tblBorders/>
      </w:tblPr>
      <w:tcPr>
        <w:shd w:val="clear" w:color="ffffff" w:themeColor="accent5" w:themeTint="34" w:fill="f2ceee"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6" w:themeColor="accent5" w:themeShade="95"/>
      </w:rPr>
      <w:pPr>
        <w:pBdr/>
        <w:spacing/>
        <w:ind/>
      </w:pPr>
      <w:tblPr>
        <w:tblBorders/>
      </w:tblPr>
      <w:tcPr>
        <w:tcBorders/>
      </w:tcPr>
    </w:tblStylePr>
    <w:tblStylePr w:type="firstRow">
      <w:rPr>
        <w:b/>
        <w:color w:val="5d1956" w:themeColor="accent5" w:themeShade="95"/>
      </w:rPr>
      <w:pPr>
        <w:pBdr/>
        <w:spacing/>
        <w:ind/>
      </w:pPr>
      <w:tblPr>
        <w:tblBorders/>
      </w:tblPr>
      <w:tcPr>
        <w:tcBorders>
          <w:bottom w:val="single" w:color="000000" w:themeColor="accent5" w:sz="12" w:space="0"/>
        </w:tcBorders>
      </w:tcPr>
    </w:tblStylePr>
    <w:tblStylePr w:type="lastCol">
      <w:rPr>
        <w:b/>
        <w:color w:val="5d1956" w:themeColor="accent5" w:themeShade="95"/>
      </w:rPr>
      <w:pPr>
        <w:pBdr/>
        <w:spacing/>
        <w:ind/>
      </w:pPr>
      <w:tblPr>
        <w:tblBorders/>
      </w:tblPr>
      <w:tcPr>
        <w:tcBorders/>
      </w:tcPr>
    </w:tblStylePr>
    <w:tblStylePr w:type="lastRow">
      <w:rPr>
        <w:b/>
        <w:color w:val="5d1956"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d9f2d0" w:themeFill="accent6" w:themeFillTint="34"/>
        <w:tcBorders/>
      </w:tcPr>
    </w:tblStylePr>
    <w:tblStylePr w:type="band1Vert">
      <w:pPr>
        <w:pBdr/>
        <w:spacing/>
        <w:ind/>
      </w:pPr>
      <w:tblPr>
        <w:tblBorders/>
      </w:tblPr>
      <w:tcPr>
        <w:shd w:val="clear" w:color="ffffff" w:themeColor="accent6" w:themeTint="34" w:fill="d9f2d0"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6" w:themeColor="accent5" w:themeShade="95"/>
      </w:rPr>
      <w:pPr>
        <w:pBdr/>
        <w:spacing/>
        <w:ind/>
      </w:pPr>
      <w:tblPr>
        <w:tblBorders/>
      </w:tblPr>
      <w:tcPr>
        <w:tcBorders/>
      </w:tcPr>
    </w:tblStylePr>
    <w:tblStylePr w:type="firstRow">
      <w:rPr>
        <w:b/>
        <w:color w:val="5d1956" w:themeColor="accent5" w:themeShade="95"/>
      </w:rPr>
      <w:pPr>
        <w:pBdr/>
        <w:spacing/>
        <w:ind/>
      </w:pPr>
      <w:tblPr>
        <w:tblBorders/>
      </w:tblPr>
      <w:tcPr>
        <w:tcBorders>
          <w:bottom w:val="single" w:color="000000" w:themeColor="accent6" w:sz="12" w:space="0"/>
        </w:tcBorders>
      </w:tcPr>
    </w:tblStylePr>
    <w:tblStylePr w:type="lastCol">
      <w:rPr>
        <w:b/>
        <w:color w:val="5d1956" w:themeColor="accent5" w:themeShade="95"/>
      </w:rPr>
      <w:pPr>
        <w:pBdr/>
        <w:spacing/>
        <w:ind/>
      </w:pPr>
      <w:tblPr>
        <w:tblBorders/>
      </w:tblPr>
      <w:tcPr>
        <w:tcBorders/>
      </w:tcPr>
    </w:tblStylePr>
    <w:tblStylePr w:type="lastRow">
      <w:rPr>
        <w:b/>
        <w:color w:val="5d1956"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1b7ba6" w:themeColor="accent1" w:themeTint="80" w:themeShade="95"/>
        <w:sz w:val="22"/>
      </w:rPr>
      <w:pPr>
        <w:pBdr/>
        <w:spacing/>
        <w:ind/>
      </w:pPr>
      <w:tblPr>
        <w:tblBorders/>
      </w:tblPr>
      <w:tcPr>
        <w:shd w:val="clear" w:color="ffffff" w:themeColor="accent1" w:themeTint="34" w:fill="c0e4f5" w:themeFill="accent1" w:themeFillTint="34"/>
        <w:tcBorders/>
      </w:tcPr>
    </w:tblStylePr>
    <w:tblStylePr w:type="band1Vert">
      <w:pPr>
        <w:pBdr/>
        <w:spacing/>
        <w:ind/>
      </w:pPr>
      <w:tblPr>
        <w:tblBorders/>
      </w:tblPr>
      <w:tcPr>
        <w:shd w:val="clear" w:color="ffffff" w:themeColor="accent1" w:themeTint="34" w:fill="c0e4f5" w:themeFill="accent1" w:themeFillTint="34"/>
        <w:tcBorders/>
      </w:tcPr>
    </w:tblStylePr>
    <w:tblStylePr w:type="band2Horz">
      <w:rPr>
        <w:rFonts w:ascii="Arial" w:hAnsi="Arial"/>
        <w:color w:val="1b7ba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b7ba6"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1b7ba6"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1b7ba6"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1b7ba6"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65215" w:themeColor="accent2" w:themeTint="97" w:themeShade="95"/>
        <w:sz w:val="22"/>
      </w:rPr>
      <w:pPr>
        <w:pBdr/>
        <w:spacing/>
        <w:ind/>
      </w:pPr>
      <w:tblPr>
        <w:tblBorders/>
      </w:tblPr>
      <w:tcPr>
        <w:shd w:val="clear" w:color="ffffff" w:themeColor="accent2" w:themeTint="32" w:fill="fbe3d7" w:themeFill="accent2" w:themeFillTint="32"/>
        <w:tcBorders/>
      </w:tcPr>
    </w:tblStylePr>
    <w:tblStylePr w:type="band1Vert">
      <w:pPr>
        <w:pBdr/>
        <w:spacing/>
        <w:ind/>
      </w:pPr>
      <w:tblPr>
        <w:tblBorders/>
      </w:tblPr>
      <w:tcPr>
        <w:shd w:val="clear" w:color="ffffff" w:themeColor="accent2" w:themeTint="32" w:fill="fbe3d7" w:themeFill="accent2" w:themeFillTint="32"/>
        <w:tcBorders/>
      </w:tcPr>
    </w:tblStylePr>
    <w:tblStylePr w:type="band2Horz">
      <w:rPr>
        <w:rFonts w:ascii="Arial" w:hAnsi="Arial"/>
        <w:color w:val="c6521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5215"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65215"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65215"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65215"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0f3f15" w:themeColor="accent3" w:themeTint="FE" w:themeShade="95"/>
        <w:sz w:val="22"/>
      </w:rPr>
      <w:pPr>
        <w:pBdr/>
        <w:spacing/>
        <w:ind/>
      </w:pPr>
      <w:tblPr>
        <w:tblBorders/>
      </w:tblPr>
      <w:tcPr>
        <w:shd w:val="clear" w:color="ffffff" w:themeColor="accent3" w:themeTint="34" w:fill="c1f0c7" w:themeFill="accent3" w:themeFillTint="34"/>
        <w:tcBorders/>
      </w:tcPr>
    </w:tblStylePr>
    <w:tblStylePr w:type="band1Vert">
      <w:pPr>
        <w:pBdr/>
        <w:spacing/>
        <w:ind/>
      </w:pPr>
      <w:tblPr>
        <w:tblBorders/>
      </w:tblPr>
      <w:tcPr>
        <w:shd w:val="clear" w:color="ffffff" w:themeColor="accent3" w:themeTint="34" w:fill="c1f0c7" w:themeFill="accent3" w:themeFillTint="34"/>
        <w:tcBorders/>
      </w:tcPr>
    </w:tblStylePr>
    <w:tblStylePr w:type="band2Horz">
      <w:rPr>
        <w:rFonts w:ascii="Arial" w:hAnsi="Arial"/>
        <w:color w:val="0f3f1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f3f15"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0f3f15"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0f3f15"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0f3f15"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0d8ab9" w:themeColor="accent4" w:themeTint="9A" w:themeShade="95"/>
        <w:sz w:val="22"/>
      </w:rPr>
      <w:pPr>
        <w:pBdr/>
        <w:spacing/>
        <w:ind/>
      </w:pPr>
      <w:tblPr>
        <w:tblBorders/>
      </w:tblPr>
      <w:tcPr>
        <w:shd w:val="clear" w:color="ffffff" w:themeColor="accent4" w:themeTint="34" w:fill="c9edfb" w:themeFill="accent4" w:themeFillTint="34"/>
        <w:tcBorders/>
      </w:tcPr>
    </w:tblStylePr>
    <w:tblStylePr w:type="band1Vert">
      <w:pPr>
        <w:pBdr/>
        <w:spacing/>
        <w:ind/>
      </w:pPr>
      <w:tblPr>
        <w:tblBorders/>
      </w:tblPr>
      <w:tcPr>
        <w:shd w:val="clear" w:color="ffffff" w:themeColor="accent4" w:themeTint="34" w:fill="c9edfb" w:themeFill="accent4" w:themeFillTint="34"/>
        <w:tcBorders/>
      </w:tcPr>
    </w:tblStylePr>
    <w:tblStylePr w:type="band2Horz">
      <w:rPr>
        <w:rFonts w:ascii="Arial" w:hAnsi="Arial"/>
        <w:color w:val="0d8ab9"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d8ab9"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0d8ab9"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0d8ab9"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0d8ab9"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5d1956" w:themeColor="accent5" w:themeShade="95"/>
        <w:sz w:val="22"/>
      </w:rPr>
      <w:pPr>
        <w:pBdr/>
        <w:spacing/>
        <w:ind/>
      </w:pPr>
      <w:tblPr>
        <w:tblBorders/>
      </w:tblPr>
      <w:tcPr>
        <w:shd w:val="clear" w:color="ffffff" w:themeColor="accent5" w:themeTint="34" w:fill="f2ceee" w:themeFill="accent5" w:themeFillTint="34"/>
        <w:tcBorders/>
      </w:tcPr>
    </w:tblStylePr>
    <w:tblStylePr w:type="band1Vert">
      <w:pPr>
        <w:pBdr/>
        <w:spacing/>
        <w:ind/>
      </w:pPr>
      <w:tblPr>
        <w:tblBorders/>
      </w:tblPr>
      <w:tcPr>
        <w:shd w:val="clear" w:color="ffffff" w:themeColor="accent5" w:themeTint="34" w:fill="f2ceee" w:themeFill="accent5" w:themeFillTint="34"/>
        <w:tcBorders/>
      </w:tcPr>
    </w:tblStylePr>
    <w:tblStylePr w:type="band2Horz">
      <w:rPr>
        <w:rFonts w:ascii="Arial" w:hAnsi="Arial"/>
        <w:color w:val="5d1956"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6"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5d1956"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5d1956"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5d1956"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2e621b" w:themeColor="accent6" w:themeShade="95"/>
        <w:sz w:val="22"/>
      </w:rPr>
      <w:pPr>
        <w:pBdr/>
        <w:spacing/>
        <w:ind/>
      </w:pPr>
      <w:tblPr>
        <w:tblBorders/>
      </w:tblPr>
      <w:tcPr>
        <w:shd w:val="clear" w:color="ffffff" w:themeColor="accent6" w:themeTint="34" w:fill="d9f2d0" w:themeFill="accent6" w:themeFillTint="34"/>
        <w:tcBorders/>
      </w:tcPr>
    </w:tblStylePr>
    <w:tblStylePr w:type="band1Vert">
      <w:pPr>
        <w:pBdr/>
        <w:spacing/>
        <w:ind/>
      </w:pPr>
      <w:tblPr>
        <w:tblBorders/>
      </w:tblPr>
      <w:tcPr>
        <w:shd w:val="clear" w:color="ffffff" w:themeColor="accent6" w:themeTint="34" w:fill="d9f2d0" w:themeFill="accent6" w:themeFillTint="34"/>
        <w:tcBorders/>
      </w:tcPr>
    </w:tblStylePr>
    <w:tblStylePr w:type="band2Horz">
      <w:rPr>
        <w:rFonts w:ascii="Arial" w:hAnsi="Arial"/>
        <w:color w:val="2e62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621b"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2e621b"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2e621b"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2e621b"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2ab8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60cbf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d86dc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8fd974"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9dbcc"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2edba"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d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efc2ea"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0efc5"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156082" w:themeFill="accent1"/>
    </w:tblPr>
    <w:tcPr>
      <w:tcBorders/>
    </w:tcPr>
    <w:tblStylePr w:type="band1Horz">
      <w:pPr>
        <w:pBdr/>
        <w:spacing/>
        <w:ind/>
      </w:pPr>
      <w:tblPr>
        <w:tblBorders/>
      </w:tblPr>
      <w:tcPr>
        <w:shd w:val="clear" w:color="ffffff" w:themeColor="accent1" w:fill="156082"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156082"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156082"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156082"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2ab86" w:themeFill="accent2" w:themeFillTint="97"/>
    </w:tblPr>
    <w:tcPr>
      <w:tcBorders/>
    </w:tcPr>
    <w:tblStylePr w:type="band1Horz">
      <w:pPr>
        <w:pBdr/>
        <w:spacing/>
        <w:ind/>
      </w:pPr>
      <w:tblPr>
        <w:tblBorders/>
      </w:tblPr>
      <w:tcPr>
        <w:shd w:val="clear" w:color="ffffff" w:themeColor="accent2" w:themeTint="97" w:fill="f2ab8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2ab8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2ab8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2ab8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48d45b" w:themeFill="accent3" w:themeFillTint="98"/>
    </w:tblPr>
    <w:tcPr>
      <w:tcBorders/>
    </w:tcPr>
    <w:tblStylePr w:type="band1Horz">
      <w:pPr>
        <w:pBdr/>
        <w:spacing/>
        <w:ind/>
      </w:pPr>
      <w:tblPr>
        <w:tblBorders/>
      </w:tblPr>
      <w:tcPr>
        <w:shd w:val="clear" w:color="ffffff" w:themeColor="accent3" w:themeTint="98" w:fill="48d45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48d45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48d45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48d45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60cbf4" w:themeFill="accent4" w:themeFillTint="9A"/>
    </w:tblPr>
    <w:tcPr>
      <w:tcBorders/>
    </w:tcPr>
    <w:tblStylePr w:type="band1Horz">
      <w:pPr>
        <w:pBdr/>
        <w:spacing/>
        <w:ind/>
      </w:pPr>
      <w:tblPr>
        <w:tblBorders/>
      </w:tblPr>
      <w:tcPr>
        <w:shd w:val="clear" w:color="ffffff" w:themeColor="accent4" w:themeTint="9A" w:fill="60cbf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60cbf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60cbf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60cbf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d86dcc" w:themeFill="accent5" w:themeFillTint="9A"/>
    </w:tblPr>
    <w:tcPr>
      <w:tcBorders/>
    </w:tcPr>
    <w:tblStylePr w:type="band1Horz">
      <w:pPr>
        <w:pBdr/>
        <w:spacing/>
        <w:ind/>
      </w:pPr>
      <w:tblPr>
        <w:tblBorders/>
      </w:tblPr>
      <w:tcPr>
        <w:shd w:val="clear" w:color="ffffff" w:themeColor="accent5" w:themeTint="9A" w:fill="d86dc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d86dc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d86dc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d86dc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8fd974" w:themeFill="accent6" w:themeFillTint="98"/>
    </w:tblPr>
    <w:tcPr>
      <w:tcBorders/>
    </w:tcPr>
    <w:tblStylePr w:type="band1Horz">
      <w:pPr>
        <w:pBdr/>
        <w:spacing/>
        <w:ind/>
      </w:pPr>
      <w:tblPr>
        <w:tblBorders/>
      </w:tblPr>
      <w:tcPr>
        <w:shd w:val="clear" w:color="ffffff" w:themeColor="accent6" w:themeTint="98" w:fill="8fd974"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8fd974"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8fd974"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8fd974"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84c" w:themeColor="accent1" w:themeShade="95"/>
      </w:rPr>
      <w:pPr>
        <w:pBdr/>
        <w:spacing/>
        <w:ind/>
      </w:pPr>
      <w:tblPr>
        <w:tblBorders/>
      </w:tblPr>
      <w:tcPr>
        <w:tcBorders/>
      </w:tcPr>
    </w:tblStylePr>
    <w:tblStylePr w:type="firstRow">
      <w:rPr>
        <w:b/>
        <w:color w:val="0c384c" w:themeColor="accent1" w:themeShade="95"/>
      </w:rPr>
      <w:pPr>
        <w:pBdr/>
        <w:spacing/>
        <w:ind/>
      </w:pPr>
      <w:tblPr>
        <w:tblBorders/>
      </w:tblPr>
      <w:tcPr>
        <w:tcBorders>
          <w:bottom w:val="single" w:color="000000" w:themeColor="accent1" w:sz="4" w:space="0"/>
        </w:tcBorders>
      </w:tcPr>
    </w:tblStylePr>
    <w:tblStylePr w:type="lastCol">
      <w:rPr>
        <w:b/>
        <w:color w:val="0c384c" w:themeColor="accent1" w:themeShade="95"/>
      </w:rPr>
      <w:pPr>
        <w:pBdr/>
        <w:spacing/>
        <w:ind/>
      </w:pPr>
      <w:tblPr>
        <w:tblBorders/>
      </w:tblPr>
      <w:tcPr>
        <w:tcBorders/>
      </w:tcPr>
    </w:tblStylePr>
    <w:tblStylePr w:type="lastRow">
      <w:rPr>
        <w:b/>
        <w:color w:val="0c384c"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65215" w:themeColor="accent2" w:themeTint="97" w:themeShade="95"/>
      </w:rPr>
      <w:pPr>
        <w:pBdr/>
        <w:spacing/>
        <w:ind/>
      </w:pPr>
      <w:tblPr>
        <w:tblBorders/>
      </w:tblPr>
      <w:tcPr>
        <w:tcBorders/>
      </w:tcPr>
    </w:tblStylePr>
    <w:tblStylePr w:type="firstRow">
      <w:rPr>
        <w:b/>
        <w:color w:val="c65215" w:themeColor="accent2" w:themeTint="97" w:themeShade="95"/>
      </w:rPr>
      <w:pPr>
        <w:pBdr/>
        <w:spacing/>
        <w:ind/>
      </w:pPr>
      <w:tblPr>
        <w:tblBorders/>
      </w:tblPr>
      <w:tcPr>
        <w:tcBorders>
          <w:bottom w:val="single" w:color="000000" w:themeColor="accent2" w:themeTint="97" w:sz="4" w:space="0"/>
        </w:tcBorders>
      </w:tcPr>
    </w:tblStylePr>
    <w:tblStylePr w:type="lastCol">
      <w:rPr>
        <w:b/>
        <w:color w:val="c65215" w:themeColor="accent2" w:themeTint="97" w:themeShade="95"/>
      </w:rPr>
      <w:pPr>
        <w:pBdr/>
        <w:spacing/>
        <w:ind/>
      </w:pPr>
      <w:tblPr>
        <w:tblBorders/>
      </w:tblPr>
      <w:tcPr>
        <w:tcBorders/>
      </w:tcPr>
    </w:tblStylePr>
    <w:tblStylePr w:type="lastRow">
      <w:rPr>
        <w:b/>
        <w:color w:val="c65215"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0872d" w:themeColor="accent3" w:themeTint="98" w:themeShade="95"/>
      </w:rPr>
      <w:pPr>
        <w:pBdr/>
        <w:spacing/>
        <w:ind/>
      </w:pPr>
      <w:tblPr>
        <w:tblBorders/>
      </w:tblPr>
      <w:tcPr>
        <w:tcBorders/>
      </w:tcPr>
    </w:tblStylePr>
    <w:tblStylePr w:type="firstRow">
      <w:rPr>
        <w:b/>
        <w:color w:val="20872d" w:themeColor="accent3" w:themeTint="98" w:themeShade="95"/>
      </w:rPr>
      <w:pPr>
        <w:pBdr/>
        <w:spacing/>
        <w:ind/>
      </w:pPr>
      <w:tblPr>
        <w:tblBorders/>
      </w:tblPr>
      <w:tcPr>
        <w:tcBorders>
          <w:bottom w:val="single" w:color="000000" w:themeColor="accent3" w:themeTint="98" w:sz="4" w:space="0"/>
        </w:tcBorders>
      </w:tcPr>
    </w:tblStylePr>
    <w:tblStylePr w:type="lastCol">
      <w:rPr>
        <w:b/>
        <w:color w:val="20872d" w:themeColor="accent3" w:themeTint="98" w:themeShade="95"/>
      </w:rPr>
      <w:pPr>
        <w:pBdr/>
        <w:spacing/>
        <w:ind/>
      </w:pPr>
      <w:tblPr>
        <w:tblBorders/>
      </w:tblPr>
      <w:tcPr>
        <w:tcBorders/>
      </w:tcPr>
    </w:tblStylePr>
    <w:tblStylePr w:type="lastRow">
      <w:rPr>
        <w:b/>
        <w:color w:val="20872d"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d8ab9" w:themeColor="accent4" w:themeTint="9A" w:themeShade="95"/>
      </w:rPr>
      <w:pPr>
        <w:pBdr/>
        <w:spacing/>
        <w:ind/>
      </w:pPr>
      <w:tblPr>
        <w:tblBorders/>
      </w:tblPr>
      <w:tcPr>
        <w:tcBorders/>
      </w:tcPr>
    </w:tblStylePr>
    <w:tblStylePr w:type="firstRow">
      <w:rPr>
        <w:b/>
        <w:color w:val="0d8ab9" w:themeColor="accent4" w:themeTint="9A" w:themeShade="95"/>
      </w:rPr>
      <w:pPr>
        <w:pBdr/>
        <w:spacing/>
        <w:ind/>
      </w:pPr>
      <w:tblPr>
        <w:tblBorders/>
      </w:tblPr>
      <w:tcPr>
        <w:tcBorders>
          <w:bottom w:val="single" w:color="000000" w:themeColor="accent4" w:themeTint="9A" w:sz="4" w:space="0"/>
        </w:tcBorders>
      </w:tcPr>
    </w:tblStylePr>
    <w:tblStylePr w:type="lastCol">
      <w:rPr>
        <w:b/>
        <w:color w:val="0d8ab9" w:themeColor="accent4" w:themeTint="9A" w:themeShade="95"/>
      </w:rPr>
      <w:pPr>
        <w:pBdr/>
        <w:spacing/>
        <w:ind/>
      </w:pPr>
      <w:tblPr>
        <w:tblBorders/>
      </w:tblPr>
      <w:tcPr>
        <w:tcBorders/>
      </w:tcPr>
    </w:tblStylePr>
    <w:tblStylePr w:type="lastRow">
      <w:rPr>
        <w:b/>
        <w:color w:val="0d8ab9"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52889" w:themeColor="accent5" w:themeTint="9A" w:themeShade="95"/>
      </w:rPr>
      <w:pPr>
        <w:pBdr/>
        <w:spacing/>
        <w:ind/>
      </w:pPr>
      <w:tblPr>
        <w:tblBorders/>
      </w:tblPr>
      <w:tcPr>
        <w:tcBorders/>
      </w:tcPr>
    </w:tblStylePr>
    <w:tblStylePr w:type="firstRow">
      <w:rPr>
        <w:b/>
        <w:color w:val="952889" w:themeColor="accent5" w:themeTint="9A" w:themeShade="95"/>
      </w:rPr>
      <w:pPr>
        <w:pBdr/>
        <w:spacing/>
        <w:ind/>
      </w:pPr>
      <w:tblPr>
        <w:tblBorders/>
      </w:tblPr>
      <w:tcPr>
        <w:tcBorders>
          <w:bottom w:val="single" w:color="000000" w:themeColor="accent5" w:themeTint="9A" w:sz="4" w:space="0"/>
        </w:tcBorders>
      </w:tcPr>
    </w:tblStylePr>
    <w:tblStylePr w:type="lastCol">
      <w:rPr>
        <w:b/>
        <w:color w:val="952889" w:themeColor="accent5" w:themeTint="9A" w:themeShade="95"/>
      </w:rPr>
      <w:pPr>
        <w:pBdr/>
        <w:spacing/>
        <w:ind/>
      </w:pPr>
      <w:tblPr>
        <w:tblBorders/>
      </w:tblPr>
      <w:tcPr>
        <w:tcBorders/>
      </w:tcPr>
    </w:tblStylePr>
    <w:tblStylePr w:type="lastRow">
      <w:rPr>
        <w:b/>
        <w:color w:val="952889"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7992a" w:themeColor="accent6" w:themeTint="98" w:themeShade="95"/>
      </w:rPr>
      <w:pPr>
        <w:pBdr/>
        <w:spacing/>
        <w:ind/>
      </w:pPr>
      <w:tblPr>
        <w:tblBorders/>
      </w:tblPr>
      <w:tcPr>
        <w:tcBorders/>
      </w:tcPr>
    </w:tblStylePr>
    <w:tblStylePr w:type="firstRow">
      <w:rPr>
        <w:b/>
        <w:color w:val="47992a" w:themeColor="accent6" w:themeTint="98" w:themeShade="95"/>
      </w:rPr>
      <w:pPr>
        <w:pBdr/>
        <w:spacing/>
        <w:ind/>
      </w:pPr>
      <w:tblPr>
        <w:tblBorders/>
      </w:tblPr>
      <w:tcPr>
        <w:tcBorders>
          <w:bottom w:val="single" w:color="000000" w:themeColor="accent6" w:themeTint="98" w:sz="4" w:space="0"/>
        </w:tcBorders>
      </w:tcPr>
    </w:tblStylePr>
    <w:tblStylePr w:type="lastCol">
      <w:rPr>
        <w:b/>
        <w:color w:val="47992a" w:themeColor="accent6" w:themeTint="98" w:themeShade="95"/>
      </w:rPr>
      <w:pPr>
        <w:pBdr/>
        <w:spacing/>
        <w:ind/>
      </w:pPr>
      <w:tblPr>
        <w:tblBorders/>
      </w:tblPr>
      <w:tcPr>
        <w:tcBorders/>
      </w:tcPr>
    </w:tblStylePr>
    <w:tblStylePr w:type="lastRow">
      <w:rPr>
        <w:b/>
        <w:color w:val="47992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0c384c" w:themeColor="accent1" w:themeShade="95"/>
        <w:sz w:val="22"/>
      </w:rPr>
      <w:pPr>
        <w:pBdr/>
        <w:spacing/>
        <w:ind/>
      </w:pPr>
      <w:tblPr>
        <w:tblBorders/>
      </w:tblPr>
      <w:tcPr>
        <w:shd w:val="clear" w:color="ffffff" w:themeColor="accent1" w:themeTint="40" w:fill="b1def2" w:themeFill="accent1" w:themeFillTint="40"/>
        <w:tcBorders/>
      </w:tcPr>
    </w:tblStylePr>
    <w:tblStylePr w:type="band1Vert">
      <w:pPr>
        <w:pBdr/>
        <w:spacing/>
        <w:ind/>
      </w:pPr>
      <w:tblPr>
        <w:tblBorders/>
      </w:tblPr>
      <w:tcPr>
        <w:shd w:val="clear" w:color="ffffff" w:themeColor="accent1" w:themeTint="40" w:fill="b1def2" w:themeFill="accent1" w:themeFillTint="40"/>
        <w:tcBorders/>
      </w:tcPr>
    </w:tblStylePr>
    <w:tblStylePr w:type="band2Horz">
      <w:rPr>
        <w:rFonts w:ascii="Arial" w:hAnsi="Arial"/>
        <w:color w:val="0c384c"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84c"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0c384c"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0c384c"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0c384c"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c384c" w:themeColor="accent1" w:themeShade="95"/>
        <w:sz w:val="22"/>
      </w:rPr>
      <w:pPr>
        <w:pBdr/>
        <w:spacing/>
        <w:ind/>
      </w:pPr>
      <w:tblPr>
        <w:tblBorders/>
      </w:tblPr>
      <w:tcPr>
        <w:tcBorders/>
      </w:tcPr>
    </w:tblStylePr>
  </w:style>
  <w:style w:type="table" w:styleId="112">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65215" w:themeColor="accent2" w:themeTint="97" w:themeShade="95"/>
        <w:sz w:val="22"/>
      </w:rPr>
      <w:pPr>
        <w:pBdr/>
        <w:spacing/>
        <w:ind/>
      </w:pPr>
      <w:tblPr>
        <w:tblBorders/>
      </w:tblPr>
      <w:tcPr>
        <w:shd w:val="clear" w:color="ffffff" w:themeColor="accent2" w:themeTint="40" w:fill="f9dbcc" w:themeFill="accent2" w:themeFillTint="40"/>
        <w:tcBorders/>
      </w:tcPr>
    </w:tblStylePr>
    <w:tblStylePr w:type="band1Vert">
      <w:pPr>
        <w:pBdr/>
        <w:spacing/>
        <w:ind/>
      </w:pPr>
      <w:tblPr>
        <w:tblBorders/>
      </w:tblPr>
      <w:tcPr>
        <w:shd w:val="clear" w:color="ffffff" w:themeColor="accent2" w:themeTint="40" w:fill="f9dbcc" w:themeFill="accent2" w:themeFillTint="40"/>
        <w:tcBorders/>
      </w:tcPr>
    </w:tblStylePr>
    <w:tblStylePr w:type="band2Horz">
      <w:rPr>
        <w:rFonts w:ascii="Arial" w:hAnsi="Arial"/>
        <w:color w:val="c6521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65215"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65215"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65215"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65215"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65215" w:themeColor="accent2" w:themeTint="97" w:themeShade="95"/>
        <w:sz w:val="22"/>
      </w:rPr>
      <w:pPr>
        <w:pBdr/>
        <w:spacing/>
        <w:ind/>
      </w:pPr>
      <w:tblPr>
        <w:tblBorders/>
      </w:tblPr>
      <w:tcPr>
        <w:tcBorders/>
      </w:tcPr>
    </w:tblStylePr>
  </w:style>
  <w:style w:type="table" w:styleId="113">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20872d" w:themeColor="accent3" w:themeTint="98" w:themeShade="95"/>
        <w:sz w:val="22"/>
      </w:rPr>
      <w:pPr>
        <w:pBdr/>
        <w:spacing/>
        <w:ind/>
      </w:pPr>
      <w:tblPr>
        <w:tblBorders/>
      </w:tblPr>
      <w:tcPr>
        <w:shd w:val="clear" w:color="ffffff" w:themeColor="accent3" w:themeTint="40" w:fill="b2edba" w:themeFill="accent3" w:themeFillTint="40"/>
        <w:tcBorders/>
      </w:tcPr>
    </w:tblStylePr>
    <w:tblStylePr w:type="band1Vert">
      <w:pPr>
        <w:pBdr/>
        <w:spacing/>
        <w:ind/>
      </w:pPr>
      <w:tblPr>
        <w:tblBorders/>
      </w:tblPr>
      <w:tcPr>
        <w:shd w:val="clear" w:color="ffffff" w:themeColor="accent3" w:themeTint="40" w:fill="b2edba" w:themeFill="accent3" w:themeFillTint="40"/>
        <w:tcBorders/>
      </w:tcPr>
    </w:tblStylePr>
    <w:tblStylePr w:type="band2Horz">
      <w:rPr>
        <w:rFonts w:ascii="Arial" w:hAnsi="Arial"/>
        <w:color w:val="20872d"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0872d"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20872d"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20872d"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20872d"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0872d" w:themeColor="accent3" w:themeTint="98" w:themeShade="95"/>
        <w:sz w:val="22"/>
      </w:rPr>
      <w:pPr>
        <w:pBdr/>
        <w:spacing/>
        <w:ind/>
      </w:pPr>
      <w:tblPr>
        <w:tblBorders/>
      </w:tblPr>
      <w:tcPr>
        <w:tcBorders/>
      </w:tcPr>
    </w:tblStylePr>
  </w:style>
  <w:style w:type="table" w:styleId="114">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0d8ab9" w:themeColor="accent4" w:themeTint="9A" w:themeShade="95"/>
        <w:sz w:val="22"/>
      </w:rPr>
      <w:pPr>
        <w:pBdr/>
        <w:spacing/>
        <w:ind/>
      </w:pPr>
      <w:tblPr>
        <w:tblBorders/>
      </w:tblPr>
      <w:tcPr>
        <w:shd w:val="clear" w:color="ffffff" w:themeColor="accent4" w:themeTint="40" w:fill="bde9fa" w:themeFill="accent4" w:themeFillTint="40"/>
        <w:tcBorders/>
      </w:tcPr>
    </w:tblStylePr>
    <w:tblStylePr w:type="band1Vert">
      <w:pPr>
        <w:pBdr/>
        <w:spacing/>
        <w:ind/>
      </w:pPr>
      <w:tblPr>
        <w:tblBorders/>
      </w:tblPr>
      <w:tcPr>
        <w:shd w:val="clear" w:color="ffffff" w:themeColor="accent4" w:themeTint="40" w:fill="bde9fa" w:themeFill="accent4" w:themeFillTint="40"/>
        <w:tcBorders/>
      </w:tcPr>
    </w:tblStylePr>
    <w:tblStylePr w:type="band2Horz">
      <w:rPr>
        <w:rFonts w:ascii="Arial" w:hAnsi="Arial"/>
        <w:color w:val="0d8ab9"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d8ab9"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0d8ab9"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0d8ab9"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0d8ab9"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d8ab9" w:themeColor="accent4" w:themeTint="9A" w:themeShade="95"/>
        <w:sz w:val="22"/>
      </w:rPr>
      <w:pPr>
        <w:pBdr/>
        <w:spacing/>
        <w:ind/>
      </w:pPr>
      <w:tblPr>
        <w:tblBorders/>
      </w:tblPr>
      <w:tcPr>
        <w:tcBorders/>
      </w:tcPr>
    </w:tblStylePr>
  </w:style>
  <w:style w:type="table" w:styleId="115">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952889" w:themeColor="accent5" w:themeTint="9A" w:themeShade="95"/>
        <w:sz w:val="22"/>
      </w:rPr>
      <w:pPr>
        <w:pBdr/>
        <w:spacing/>
        <w:ind/>
      </w:pPr>
      <w:tblPr>
        <w:tblBorders/>
      </w:tblPr>
      <w:tcPr>
        <w:shd w:val="clear" w:color="ffffff" w:themeColor="accent5" w:themeTint="40" w:fill="efc2ea" w:themeFill="accent5" w:themeFillTint="40"/>
        <w:tcBorders/>
      </w:tcPr>
    </w:tblStylePr>
    <w:tblStylePr w:type="band1Vert">
      <w:pPr>
        <w:pBdr/>
        <w:spacing/>
        <w:ind/>
      </w:pPr>
      <w:tblPr>
        <w:tblBorders/>
      </w:tblPr>
      <w:tcPr>
        <w:shd w:val="clear" w:color="ffffff" w:themeColor="accent5" w:themeTint="40" w:fill="efc2ea" w:themeFill="accent5" w:themeFillTint="40"/>
        <w:tcBorders/>
      </w:tcPr>
    </w:tblStylePr>
    <w:tblStylePr w:type="band2Horz">
      <w:rPr>
        <w:rFonts w:ascii="Arial" w:hAnsi="Arial"/>
        <w:color w:val="952889"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52889"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952889"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952889"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952889"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52889" w:themeColor="accent5" w:themeTint="9A" w:themeShade="95"/>
        <w:sz w:val="22"/>
      </w:rPr>
      <w:pPr>
        <w:pBdr/>
        <w:spacing/>
        <w:ind/>
      </w:pPr>
      <w:tblPr>
        <w:tblBorders/>
      </w:tblPr>
      <w:tcPr>
        <w:tcBorders/>
      </w:tcPr>
    </w:tblStylePr>
  </w:style>
  <w:style w:type="table" w:styleId="116">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47992a" w:themeColor="accent6" w:themeTint="98" w:themeShade="95"/>
        <w:sz w:val="22"/>
      </w:rPr>
      <w:pPr>
        <w:pBdr/>
        <w:spacing/>
        <w:ind/>
      </w:pPr>
      <w:tblPr>
        <w:tblBorders/>
      </w:tblPr>
      <w:tcPr>
        <w:shd w:val="clear" w:color="ffffff" w:themeColor="accent6" w:themeTint="40" w:fill="d0efc5" w:themeFill="accent6" w:themeFillTint="40"/>
        <w:tcBorders/>
      </w:tcPr>
    </w:tblStylePr>
    <w:tblStylePr w:type="band1Vert">
      <w:pPr>
        <w:pBdr/>
        <w:spacing/>
        <w:ind/>
      </w:pPr>
      <w:tblPr>
        <w:tblBorders/>
      </w:tblPr>
      <w:tcPr>
        <w:shd w:val="clear" w:color="ffffff" w:themeColor="accent6" w:themeTint="40" w:fill="d0efc5" w:themeFill="accent6" w:themeFillTint="40"/>
        <w:tcBorders/>
      </w:tcPr>
    </w:tblStylePr>
    <w:tblStylePr w:type="band2Horz">
      <w:rPr>
        <w:rFonts w:ascii="Arial" w:hAnsi="Arial"/>
        <w:color w:val="47992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7992a"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47992a"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47992a"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47992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7992a" w:themeColor="accent6" w:themeTint="98" w:themeShade="95"/>
        <w:sz w:val="22"/>
      </w:rPr>
      <w:pPr>
        <w:pBdr/>
        <w:spacing/>
        <w:ind/>
      </w:pPr>
      <w:tblPr>
        <w:tblBorders/>
      </w:tblPr>
      <w:tcPr>
        <w:tcBorders/>
      </w:tcPr>
    </w:tblStylePr>
  </w:style>
  <w:style w:type="table" w:styleId="117">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firstCol">
      <w:rPr>
        <w:rFonts w:ascii="Arial" w:hAnsi="Arial"/>
        <w:color w:val="f2f2f2"/>
        <w:sz w:val="22"/>
      </w:rPr>
      <w:pPr>
        <w:pBdr/>
        <w:spacing/>
        <w:ind/>
      </w:pPr>
      <w:tblPr>
        <w:tblBorders/>
      </w:tblPr>
      <w:tcPr>
        <w:shd w:val="clear" w:color="ffffff" w:themeColor="accent5" w:fill="a02b93" w:themeFill="accent5"/>
        <w:tcBorders/>
      </w:tcPr>
    </w:tblStylePr>
    <w:tblStylePr w:type="firstRow">
      <w:rPr>
        <w:rFonts w:ascii="Arial" w:hAnsi="Arial"/>
        <w:color w:val="f2f2f2"/>
        <w:sz w:val="22"/>
      </w:rPr>
      <w:pPr>
        <w:pBdr/>
        <w:spacing/>
        <w:ind/>
      </w:pPr>
      <w:tblPr>
        <w:tblBorders/>
      </w:tblPr>
      <w:tcPr>
        <w:shd w:val="clear" w:color="ffffff" w:themeColor="accent5" w:fill="a02b93" w:themeFill="accent5"/>
        <w:tcBorders/>
      </w:tcPr>
    </w:tblStylePr>
    <w:tblStylePr w:type="lastCol">
      <w:rPr>
        <w:rFonts w:ascii="Arial" w:hAnsi="Arial"/>
        <w:color w:val="f2f2f2"/>
        <w:sz w:val="22"/>
      </w:rPr>
      <w:pPr>
        <w:pBdr/>
        <w:spacing/>
        <w:ind/>
      </w:pPr>
      <w:tblPr>
        <w:tblBorders/>
      </w:tblPr>
      <w:tcPr>
        <w:shd w:val="clear" w:color="ffffff" w:themeColor="accent5" w:fill="a02b93" w:themeFill="accent5"/>
        <w:tcBorders/>
      </w:tcPr>
    </w:tblStylePr>
    <w:tblStylePr w:type="lastRow">
      <w:rPr>
        <w:rFonts w:ascii="Arial" w:hAnsi="Arial"/>
        <w:color w:val="f2f2f2"/>
        <w:sz w:val="22"/>
      </w:rPr>
      <w:pPr>
        <w:pBdr/>
        <w:spacing/>
        <w:ind/>
      </w:pPr>
      <w:tblPr>
        <w:tblBorders/>
      </w:tblPr>
      <w:tcPr>
        <w:shd w:val="clear" w:color="ffffff"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firstCol">
      <w:rPr>
        <w:rFonts w:ascii="Arial" w:hAnsi="Arial"/>
        <w:color w:val="f2f2f2"/>
        <w:sz w:val="22"/>
      </w:rPr>
      <w:pPr>
        <w:pBdr/>
        <w:spacing/>
        <w:ind/>
      </w:pPr>
      <w:tblPr>
        <w:tblBorders/>
      </w:tblPr>
      <w:tcPr>
        <w:shd w:val="clear" w:color="ffffff" w:themeColor="accent6" w:fill="4ea72e" w:themeFill="accent6"/>
        <w:tcBorders/>
      </w:tcPr>
    </w:tblStylePr>
    <w:tblStylePr w:type="firstRow">
      <w:rPr>
        <w:rFonts w:ascii="Arial" w:hAnsi="Arial"/>
        <w:color w:val="f2f2f2"/>
        <w:sz w:val="22"/>
      </w:rPr>
      <w:pPr>
        <w:pBdr/>
        <w:spacing/>
        <w:ind/>
      </w:pPr>
      <w:tblPr>
        <w:tblBorders/>
      </w:tblPr>
      <w:tcPr>
        <w:shd w:val="clear" w:color="ffffff" w:themeColor="accent6" w:fill="4ea72e" w:themeFill="accent6"/>
        <w:tcBorders/>
      </w:tcPr>
    </w:tblStylePr>
    <w:tblStylePr w:type="lastCol">
      <w:rPr>
        <w:rFonts w:ascii="Arial" w:hAnsi="Arial"/>
        <w:color w:val="f2f2f2"/>
        <w:sz w:val="22"/>
      </w:rPr>
      <w:pPr>
        <w:pBdr/>
        <w:spacing/>
        <w:ind/>
      </w:pPr>
      <w:tblPr>
        <w:tblBorders/>
      </w:tblPr>
      <w:tcPr>
        <w:shd w:val="clear" w:color="ffffff" w:themeColor="accent6" w:fill="4ea72e" w:themeFill="accent6"/>
        <w:tcBorders/>
      </w:tcPr>
    </w:tblStylePr>
    <w:tblStylePr w:type="lastRow">
      <w:rPr>
        <w:rFonts w:ascii="Arial" w:hAnsi="Arial"/>
        <w:color w:val="f2f2f2"/>
        <w:sz w:val="22"/>
      </w:rPr>
      <w:pPr>
        <w:pBdr/>
        <w:spacing/>
        <w:ind/>
      </w:pPr>
      <w:tblPr>
        <w:tblBorders/>
      </w:tblPr>
      <w:tcPr>
        <w:shd w:val="clear" w:color="ffffff"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9ed6ef"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973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3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2ab8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1f0c7"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60cbf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f2ceee" w:themeFill="accent5" w:themeFillTint="34"/>
        <w:tcBorders/>
      </w:tcPr>
    </w:tblStylePr>
    <w:tblStylePr w:type="firstCol">
      <w:rPr>
        <w:rFonts w:ascii="Arial" w:hAnsi="Arial"/>
        <w:color w:val="f2f2f2"/>
        <w:sz w:val="22"/>
      </w:rPr>
      <w:pPr>
        <w:pBdr/>
        <w:spacing/>
        <w:ind/>
      </w:pPr>
      <w:tblPr>
        <w:tblBorders/>
      </w:tblPr>
      <w:tcPr>
        <w:shd w:val="clear" w:color="ffffff" w:themeColor="accent5" w:fill="a02b93" w:themeFill="accent5"/>
        <w:tcBorders/>
      </w:tcPr>
    </w:tblStylePr>
    <w:tblStylePr w:type="firstRow">
      <w:rPr>
        <w:rFonts w:ascii="Arial" w:hAnsi="Arial"/>
        <w:color w:val="f2f2f2"/>
        <w:sz w:val="22"/>
      </w:rPr>
      <w:pPr>
        <w:pBdr/>
        <w:spacing/>
        <w:ind/>
      </w:pPr>
      <w:tblPr>
        <w:tblBorders/>
      </w:tblPr>
      <w:tcPr>
        <w:shd w:val="clear" w:color="ffffff" w:themeColor="accent5" w:fill="a02b93" w:themeFill="accent5"/>
        <w:tcBorders/>
      </w:tcPr>
    </w:tblStylePr>
    <w:tblStylePr w:type="lastCol">
      <w:rPr>
        <w:rFonts w:ascii="Arial" w:hAnsi="Arial"/>
        <w:color w:val="f2f2f2"/>
        <w:sz w:val="22"/>
      </w:rPr>
      <w:pPr>
        <w:pBdr/>
        <w:spacing/>
        <w:ind/>
      </w:pPr>
      <w:tblPr>
        <w:tblBorders/>
      </w:tblPr>
      <w:tcPr>
        <w:shd w:val="clear" w:color="ffffff" w:themeColor="accent5" w:fill="a02b93" w:themeFill="accent5"/>
        <w:tcBorders/>
      </w:tcPr>
    </w:tblStylePr>
    <w:tblStylePr w:type="lastRow">
      <w:rPr>
        <w:rFonts w:ascii="Arial" w:hAnsi="Arial"/>
        <w:color w:val="f2f2f2"/>
        <w:sz w:val="22"/>
      </w:rPr>
      <w:pPr>
        <w:pBdr/>
        <w:spacing/>
        <w:ind/>
      </w:pPr>
      <w:tblPr>
        <w:tblBorders/>
      </w:tblPr>
      <w:tcPr>
        <w:shd w:val="clear" w:color="ffffff"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d9f2d0" w:themeFill="accent6" w:themeFillTint="34"/>
        <w:tcBorders/>
      </w:tcPr>
    </w:tblStylePr>
    <w:tblStylePr w:type="firstCol">
      <w:rPr>
        <w:rFonts w:ascii="Arial" w:hAnsi="Arial"/>
        <w:color w:val="f2f2f2"/>
        <w:sz w:val="22"/>
      </w:rPr>
      <w:pPr>
        <w:pBdr/>
        <w:spacing/>
        <w:ind/>
      </w:pPr>
      <w:tblPr>
        <w:tblBorders/>
      </w:tblPr>
      <w:tcPr>
        <w:shd w:val="clear" w:color="ffffff" w:themeColor="accent6" w:fill="4ea72e" w:themeFill="accent6"/>
        <w:tcBorders/>
      </w:tcPr>
    </w:tblStylePr>
    <w:tblStylePr w:type="firstRow">
      <w:rPr>
        <w:rFonts w:ascii="Arial" w:hAnsi="Arial"/>
        <w:color w:val="f2f2f2"/>
        <w:sz w:val="22"/>
      </w:rPr>
      <w:pPr>
        <w:pBdr/>
        <w:spacing/>
        <w:ind/>
      </w:pPr>
      <w:tblPr>
        <w:tblBorders/>
      </w:tblPr>
      <w:tcPr>
        <w:shd w:val="clear" w:color="ffffff" w:themeColor="accent6" w:fill="4ea72e" w:themeFill="accent6"/>
        <w:tcBorders/>
      </w:tcPr>
    </w:tblStylePr>
    <w:tblStylePr w:type="lastCol">
      <w:rPr>
        <w:rFonts w:ascii="Arial" w:hAnsi="Arial"/>
        <w:color w:val="f2f2f2"/>
        <w:sz w:val="22"/>
      </w:rPr>
      <w:pPr>
        <w:pBdr/>
        <w:spacing/>
        <w:ind/>
      </w:pPr>
      <w:tblPr>
        <w:tblBorders/>
      </w:tblPr>
      <w:tcPr>
        <w:shd w:val="clear" w:color="ffffff" w:themeColor="accent6" w:fill="4ea72e" w:themeFill="accent6"/>
        <w:tcBorders/>
      </w:tcPr>
    </w:tblStylePr>
    <w:tblStylePr w:type="lastRow">
      <w:rPr>
        <w:rFonts w:ascii="Arial" w:hAnsi="Arial"/>
        <w:color w:val="f2f2f2"/>
        <w:sz w:val="22"/>
      </w:rPr>
      <w:pPr>
        <w:pBdr/>
        <w:spacing/>
        <w:ind/>
      </w:pPr>
      <w:tblPr>
        <w:tblBorders/>
      </w:tblPr>
      <w:tcPr>
        <w:shd w:val="clear" w:color="ffffff"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50">
    <w:name w:val="Heading 1 Char"/>
    <w:basedOn w:val="882"/>
    <w:link w:val="873"/>
    <w:uiPriority w:val="9"/>
    <w:pPr>
      <w:pBdr/>
      <w:spacing/>
      <w:ind/>
    </w:pPr>
    <w:rPr>
      <w:rFonts w:ascii="Arial" w:hAnsi="Arial" w:eastAsia="Arial" w:cs="Arial"/>
      <w:color w:val="0f4761" w:themeColor="accent1" w:themeShade="BF"/>
      <w:sz w:val="40"/>
      <w:szCs w:val="40"/>
    </w:rPr>
  </w:style>
  <w:style w:type="character" w:styleId="151">
    <w:name w:val="Heading 2 Char"/>
    <w:basedOn w:val="882"/>
    <w:link w:val="874"/>
    <w:uiPriority w:val="9"/>
    <w:pPr>
      <w:pBdr/>
      <w:spacing/>
      <w:ind/>
    </w:pPr>
    <w:rPr>
      <w:rFonts w:ascii="Arial" w:hAnsi="Arial" w:eastAsia="Arial" w:cs="Arial"/>
      <w:color w:val="0f4761" w:themeColor="accent1" w:themeShade="BF"/>
      <w:sz w:val="32"/>
      <w:szCs w:val="32"/>
    </w:rPr>
  </w:style>
  <w:style w:type="character" w:styleId="152">
    <w:name w:val="Heading 3 Char"/>
    <w:basedOn w:val="882"/>
    <w:link w:val="875"/>
    <w:uiPriority w:val="9"/>
    <w:pPr>
      <w:pBdr/>
      <w:spacing/>
      <w:ind/>
    </w:pPr>
    <w:rPr>
      <w:rFonts w:ascii="Arial" w:hAnsi="Arial" w:eastAsia="Arial" w:cs="Arial"/>
      <w:color w:val="0f4761" w:themeColor="accent1" w:themeShade="BF"/>
      <w:sz w:val="28"/>
      <w:szCs w:val="28"/>
    </w:rPr>
  </w:style>
  <w:style w:type="character" w:styleId="153">
    <w:name w:val="Heading 4 Char"/>
    <w:basedOn w:val="882"/>
    <w:link w:val="876"/>
    <w:uiPriority w:val="9"/>
    <w:pPr>
      <w:pBdr/>
      <w:spacing/>
      <w:ind/>
    </w:pPr>
    <w:rPr>
      <w:rFonts w:ascii="Arial" w:hAnsi="Arial" w:eastAsia="Arial" w:cs="Arial"/>
      <w:i/>
      <w:iCs/>
      <w:color w:val="0f4761" w:themeColor="accent1" w:themeShade="BF"/>
    </w:rPr>
  </w:style>
  <w:style w:type="character" w:styleId="154">
    <w:name w:val="Heading 5 Char"/>
    <w:basedOn w:val="882"/>
    <w:link w:val="877"/>
    <w:uiPriority w:val="9"/>
    <w:pPr>
      <w:pBdr/>
      <w:spacing/>
      <w:ind/>
    </w:pPr>
    <w:rPr>
      <w:rFonts w:ascii="Arial" w:hAnsi="Arial" w:eastAsia="Arial" w:cs="Arial"/>
      <w:color w:val="0f4761" w:themeColor="accent1" w:themeShade="BF"/>
    </w:rPr>
  </w:style>
  <w:style w:type="character" w:styleId="155">
    <w:name w:val="Heading 6 Char"/>
    <w:basedOn w:val="882"/>
    <w:link w:val="878"/>
    <w:uiPriority w:val="9"/>
    <w:pPr>
      <w:pBdr/>
      <w:spacing/>
      <w:ind/>
    </w:pPr>
    <w:rPr>
      <w:rFonts w:ascii="Arial" w:hAnsi="Arial" w:eastAsia="Arial" w:cs="Arial"/>
      <w:i/>
      <w:iCs/>
      <w:color w:val="595959" w:themeColor="text1" w:themeTint="A6"/>
    </w:rPr>
  </w:style>
  <w:style w:type="character" w:styleId="156">
    <w:name w:val="Heading 7 Char"/>
    <w:basedOn w:val="882"/>
    <w:link w:val="879"/>
    <w:uiPriority w:val="9"/>
    <w:pPr>
      <w:pBdr/>
      <w:spacing/>
      <w:ind/>
    </w:pPr>
    <w:rPr>
      <w:rFonts w:ascii="Arial" w:hAnsi="Arial" w:eastAsia="Arial" w:cs="Arial"/>
      <w:color w:val="595959" w:themeColor="text1" w:themeTint="A6"/>
    </w:rPr>
  </w:style>
  <w:style w:type="character" w:styleId="157">
    <w:name w:val="Heading 8 Char"/>
    <w:basedOn w:val="882"/>
    <w:link w:val="880"/>
    <w:uiPriority w:val="9"/>
    <w:pPr>
      <w:pBdr/>
      <w:spacing/>
      <w:ind/>
    </w:pPr>
    <w:rPr>
      <w:rFonts w:ascii="Arial" w:hAnsi="Arial" w:eastAsia="Arial" w:cs="Arial"/>
      <w:i/>
      <w:iCs/>
      <w:color w:val="272727" w:themeColor="text1" w:themeTint="D8"/>
    </w:rPr>
  </w:style>
  <w:style w:type="character" w:styleId="158">
    <w:name w:val="Heading 9 Char"/>
    <w:basedOn w:val="882"/>
    <w:link w:val="881"/>
    <w:uiPriority w:val="9"/>
    <w:pPr>
      <w:pBdr/>
      <w:spacing/>
      <w:ind/>
    </w:pPr>
    <w:rPr>
      <w:rFonts w:ascii="Arial" w:hAnsi="Arial" w:eastAsia="Arial" w:cs="Arial"/>
      <w:i/>
      <w:iCs/>
      <w:color w:val="272727" w:themeColor="text1" w:themeTint="D8"/>
    </w:rPr>
  </w:style>
  <w:style w:type="character" w:styleId="160">
    <w:name w:val="Title Char"/>
    <w:basedOn w:val="882"/>
    <w:link w:val="903"/>
    <w:uiPriority w:val="10"/>
    <w:pPr>
      <w:pBdr/>
      <w:spacing/>
      <w:ind/>
    </w:pPr>
    <w:rPr>
      <w:rFonts w:ascii="Arial" w:hAnsi="Arial" w:eastAsia="Arial" w:cs="Arial"/>
      <w:spacing w:val="-10"/>
      <w:sz w:val="56"/>
      <w:szCs w:val="56"/>
    </w:rPr>
  </w:style>
  <w:style w:type="character" w:styleId="162">
    <w:name w:val="Subtitle Char"/>
    <w:basedOn w:val="882"/>
    <w:link w:val="922"/>
    <w:uiPriority w:val="11"/>
    <w:pPr>
      <w:pBdr/>
      <w:spacing/>
      <w:ind/>
    </w:pPr>
    <w:rPr>
      <w:color w:val="595959" w:themeColor="text1" w:themeTint="A6"/>
      <w:spacing w:val="15"/>
      <w:sz w:val="28"/>
      <w:szCs w:val="28"/>
    </w:rPr>
  </w:style>
  <w:style w:type="character" w:styleId="164">
    <w:name w:val="Quote Char"/>
    <w:basedOn w:val="882"/>
    <w:link w:val="1017"/>
    <w:uiPriority w:val="29"/>
    <w:pPr>
      <w:pBdr/>
      <w:spacing/>
      <w:ind/>
    </w:pPr>
    <w:rPr>
      <w:i/>
      <w:iCs/>
      <w:color w:val="404040" w:themeColor="text1" w:themeTint="BF"/>
    </w:rPr>
  </w:style>
  <w:style w:type="character" w:styleId="166">
    <w:name w:val="Intense Emphasis"/>
    <w:basedOn w:val="882"/>
    <w:uiPriority w:val="21"/>
    <w:qFormat/>
    <w:pPr>
      <w:pBdr/>
      <w:spacing/>
      <w:ind/>
    </w:pPr>
    <w:rPr>
      <w:i/>
      <w:iCs/>
      <w:color w:val="0f4761" w:themeColor="accent1" w:themeShade="BF"/>
    </w:rPr>
  </w:style>
  <w:style w:type="character" w:styleId="168">
    <w:name w:val="Intense Quote Char"/>
    <w:basedOn w:val="882"/>
    <w:link w:val="984"/>
    <w:uiPriority w:val="30"/>
    <w:pPr>
      <w:pBdr/>
      <w:spacing/>
      <w:ind/>
    </w:pPr>
    <w:rPr>
      <w:i/>
      <w:iCs/>
      <w:color w:val="0f4761" w:themeColor="accent1" w:themeShade="BF"/>
    </w:rPr>
  </w:style>
  <w:style w:type="character" w:styleId="169">
    <w:name w:val="Intense Reference"/>
    <w:basedOn w:val="882"/>
    <w:uiPriority w:val="32"/>
    <w:qFormat/>
    <w:pPr>
      <w:pBdr/>
      <w:spacing/>
      <w:ind/>
    </w:pPr>
    <w:rPr>
      <w:b/>
      <w:bCs/>
      <w:smallCaps/>
      <w:color w:val="0f4761" w:themeColor="accent1" w:themeShade="BF"/>
      <w:spacing w:val="5"/>
    </w:rPr>
  </w:style>
  <w:style w:type="character" w:styleId="171">
    <w:name w:val="Subtle Emphasis"/>
    <w:basedOn w:val="882"/>
    <w:uiPriority w:val="19"/>
    <w:qFormat/>
    <w:pPr>
      <w:pBdr/>
      <w:spacing/>
      <w:ind/>
    </w:pPr>
    <w:rPr>
      <w:i/>
      <w:iCs/>
      <w:color w:val="404040" w:themeColor="text1" w:themeTint="BF"/>
    </w:rPr>
  </w:style>
  <w:style w:type="character" w:styleId="174">
    <w:name w:val="Subtle Reference"/>
    <w:basedOn w:val="882"/>
    <w:uiPriority w:val="31"/>
    <w:qFormat/>
    <w:pPr>
      <w:pBdr/>
      <w:spacing/>
      <w:ind/>
    </w:pPr>
    <w:rPr>
      <w:smallCaps/>
      <w:color w:val="5a5a5a" w:themeColor="text1" w:themeTint="A5"/>
    </w:rPr>
  </w:style>
  <w:style w:type="character" w:styleId="175">
    <w:name w:val="Book Title"/>
    <w:basedOn w:val="882"/>
    <w:uiPriority w:val="33"/>
    <w:qFormat/>
    <w:pPr>
      <w:pBdr/>
      <w:spacing/>
      <w:ind/>
    </w:pPr>
    <w:rPr>
      <w:b/>
      <w:bCs/>
      <w:i/>
      <w:iCs/>
      <w:spacing w:val="5"/>
    </w:rPr>
  </w:style>
  <w:style w:type="character" w:styleId="177">
    <w:name w:val="Header Char"/>
    <w:basedOn w:val="882"/>
    <w:link w:val="913"/>
    <w:uiPriority w:val="99"/>
    <w:pPr>
      <w:pBdr/>
      <w:spacing/>
      <w:ind/>
    </w:pPr>
  </w:style>
  <w:style w:type="character" w:styleId="179">
    <w:name w:val="Footer Char"/>
    <w:basedOn w:val="882"/>
    <w:link w:val="915"/>
    <w:uiPriority w:val="99"/>
    <w:pPr>
      <w:pBdr/>
      <w:spacing/>
      <w:ind/>
    </w:pPr>
  </w:style>
  <w:style w:type="character" w:styleId="182">
    <w:name w:val="Footnote Text Char"/>
    <w:basedOn w:val="882"/>
    <w:link w:val="923"/>
    <w:uiPriority w:val="99"/>
    <w:semiHidden/>
    <w:pPr>
      <w:pBdr/>
      <w:spacing/>
      <w:ind/>
    </w:pPr>
    <w:rPr>
      <w:sz w:val="20"/>
      <w:szCs w:val="20"/>
    </w:rPr>
  </w:style>
  <w:style w:type="character" w:styleId="185">
    <w:name w:val="Endnote Text Char"/>
    <w:basedOn w:val="882"/>
    <w:link w:val="904"/>
    <w:uiPriority w:val="99"/>
    <w:semiHidden/>
    <w:pPr>
      <w:pBdr/>
      <w:spacing/>
      <w:ind/>
    </w:pPr>
    <w:rPr>
      <w:sz w:val="20"/>
      <w:szCs w:val="20"/>
    </w:rPr>
  </w:style>
  <w:style w:type="character" w:styleId="198">
    <w:name w:val="Placeholder Text"/>
    <w:basedOn w:val="882"/>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72"/>
    <w:next w:val="872"/>
    <w:uiPriority w:val="99"/>
    <w:unhideWhenUsed/>
    <w:pPr>
      <w:pBdr/>
      <w:spacing w:after="0" w:afterAutospacing="0"/>
      <w:ind/>
    </w:pPr>
  </w:style>
  <w:style w:type="paragraph" w:styleId="872" w:default="1">
    <w:name w:val="Normal"/>
    <w:qFormat/>
    <w:pPr>
      <w:pBdr/>
      <w:spacing/>
      <w:ind/>
    </w:pPr>
  </w:style>
  <w:style w:type="paragraph" w:styleId="873">
    <w:name w:val="Heading 1"/>
    <w:basedOn w:val="872"/>
    <w:next w:val="872"/>
    <w:link w:val="926"/>
    <w:uiPriority w:val="9"/>
    <w:qFormat/>
    <w:pPr>
      <w:keepNext w:val="true"/>
      <w:pBdr/>
      <w:spacing w:after="60" w:before="240"/>
      <w:ind/>
      <w:outlineLvl w:val="0"/>
    </w:pPr>
    <w:rPr>
      <w:rFonts w:ascii="Arial" w:hAnsi="Arial" w:cs="Arial"/>
      <w:b/>
      <w:sz w:val="32"/>
      <w:szCs w:val="32"/>
      <w:lang w:val="en-US"/>
    </w:rPr>
  </w:style>
  <w:style w:type="paragraph" w:styleId="874">
    <w:name w:val="Heading 2"/>
    <w:basedOn w:val="872"/>
    <w:next w:val="872"/>
    <w:link w:val="927"/>
    <w:uiPriority w:val="9"/>
    <w:qFormat/>
    <w:pPr>
      <w:keepNext w:val="true"/>
      <w:widowControl w:val="false"/>
      <w:pBdr/>
      <w:tabs>
        <w:tab w:val="left" w:leader="none" w:pos="857"/>
        <w:tab w:val="left" w:leader="none" w:pos="2714"/>
        <w:tab w:val="left" w:leader="none" w:pos="6592"/>
        <w:tab w:val="left" w:leader="none" w:pos="8576"/>
        <w:tab w:val="left" w:leader="none" w:pos="10419"/>
      </w:tabs>
      <w:spacing/>
      <w:ind/>
      <w:jc w:val="center"/>
      <w:outlineLvl w:val="1"/>
    </w:pPr>
    <w:rPr>
      <w:rFonts w:ascii="Arial" w:hAnsi="Arial"/>
      <w:b/>
      <w:color w:val="000000"/>
      <w:sz w:val="22"/>
    </w:rPr>
  </w:style>
  <w:style w:type="paragraph" w:styleId="875">
    <w:name w:val="Heading 3"/>
    <w:basedOn w:val="872"/>
    <w:next w:val="872"/>
    <w:link w:val="928"/>
    <w:uiPriority w:val="9"/>
    <w:qFormat/>
    <w:pPr>
      <w:keepNext w:val="true"/>
      <w:pBdr/>
      <w:spacing w:after="60" w:before="240"/>
      <w:ind/>
      <w:outlineLvl w:val="2"/>
    </w:pPr>
    <w:rPr>
      <w:rFonts w:ascii="Arial" w:hAnsi="Arial" w:cs="Arial"/>
      <w:b/>
      <w:sz w:val="26"/>
      <w:szCs w:val="26"/>
    </w:rPr>
  </w:style>
  <w:style w:type="paragraph" w:styleId="876">
    <w:name w:val="Heading 4"/>
    <w:basedOn w:val="872"/>
    <w:next w:val="872"/>
    <w:link w:val="929"/>
    <w:uiPriority w:val="9"/>
    <w:qFormat/>
    <w:pPr>
      <w:keepNext w:val="true"/>
      <w:pBdr/>
      <w:spacing w:after="60" w:before="240"/>
      <w:ind/>
      <w:outlineLvl w:val="3"/>
    </w:pPr>
    <w:rPr>
      <w:b/>
      <w:sz w:val="28"/>
      <w:szCs w:val="28"/>
    </w:rPr>
  </w:style>
  <w:style w:type="paragraph" w:styleId="877">
    <w:name w:val="Heading 5"/>
    <w:basedOn w:val="872"/>
    <w:next w:val="872"/>
    <w:link w:val="930"/>
    <w:uiPriority w:val="9"/>
    <w:qFormat/>
    <w:pPr>
      <w:pBdr/>
      <w:spacing w:after="60" w:before="240"/>
      <w:ind/>
      <w:outlineLvl w:val="4"/>
    </w:pPr>
    <w:rPr>
      <w:b/>
      <w:i/>
      <w:sz w:val="26"/>
      <w:szCs w:val="26"/>
    </w:rPr>
  </w:style>
  <w:style w:type="paragraph" w:styleId="878">
    <w:name w:val="Heading 6"/>
    <w:basedOn w:val="872"/>
    <w:next w:val="872"/>
    <w:link w:val="931"/>
    <w:uiPriority w:val="99"/>
    <w:qFormat/>
    <w:pPr>
      <w:keepNext w:val="true"/>
      <w:keepLines w:val="true"/>
      <w:pBdr/>
      <w:spacing w:before="40" w:line="288" w:lineRule="auto"/>
      <w:ind/>
      <w:outlineLvl w:val="5"/>
    </w:pPr>
    <w:rPr>
      <w:rFonts w:ascii="Calibri Light" w:hAnsi="Calibri Light"/>
      <w:sz w:val="21"/>
      <w:szCs w:val="21"/>
      <w:lang w:eastAsia="en-US"/>
    </w:rPr>
  </w:style>
  <w:style w:type="paragraph" w:styleId="879">
    <w:name w:val="Heading 7"/>
    <w:basedOn w:val="872"/>
    <w:next w:val="872"/>
    <w:link w:val="932"/>
    <w:uiPriority w:val="99"/>
    <w:qFormat/>
    <w:pPr>
      <w:keepNext w:val="true"/>
      <w:keepLines w:val="true"/>
      <w:pBdr/>
      <w:spacing w:before="40" w:line="288" w:lineRule="auto"/>
      <w:ind/>
      <w:outlineLvl w:val="6"/>
    </w:pPr>
    <w:rPr>
      <w:rFonts w:ascii="Calibri Light" w:hAnsi="Calibri Light"/>
      <w:b/>
      <w:sz w:val="21"/>
      <w:szCs w:val="21"/>
      <w:lang w:eastAsia="en-US"/>
    </w:rPr>
  </w:style>
  <w:style w:type="paragraph" w:styleId="880">
    <w:name w:val="Heading 8"/>
    <w:basedOn w:val="872"/>
    <w:next w:val="872"/>
    <w:link w:val="933"/>
    <w:uiPriority w:val="99"/>
    <w:qFormat/>
    <w:pPr>
      <w:keepNext w:val="true"/>
      <w:keepLines w:val="true"/>
      <w:pBdr/>
      <w:spacing w:before="40" w:line="288" w:lineRule="auto"/>
      <w:ind/>
      <w:outlineLvl w:val="7"/>
    </w:pPr>
    <w:rPr>
      <w:rFonts w:ascii="Calibri Light" w:hAnsi="Calibri Light"/>
      <w:b/>
      <w:i/>
      <w:lang w:eastAsia="en-US"/>
    </w:rPr>
  </w:style>
  <w:style w:type="paragraph" w:styleId="881">
    <w:name w:val="Heading 9"/>
    <w:basedOn w:val="872"/>
    <w:next w:val="872"/>
    <w:link w:val="934"/>
    <w:uiPriority w:val="99"/>
    <w:qFormat/>
    <w:pPr>
      <w:keepNext w:val="true"/>
      <w:keepLines w:val="true"/>
      <w:pBdr/>
      <w:spacing w:before="40" w:line="288" w:lineRule="auto"/>
      <w:ind/>
      <w:outlineLvl w:val="8"/>
    </w:pPr>
    <w:rPr>
      <w:rFonts w:ascii="Calibri Light" w:hAnsi="Calibri Light"/>
      <w:i/>
      <w:lang w:eastAsia="en-US"/>
    </w:r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character" w:styleId="885">
    <w:name w:val="endnote reference"/>
    <w:basedOn w:val="882"/>
    <w:uiPriority w:val="99"/>
    <w:unhideWhenUsed/>
    <w:qFormat/>
    <w:pPr>
      <w:pBdr/>
      <w:spacing/>
      <w:ind/>
    </w:pPr>
    <w:rPr>
      <w:rFonts w:cs="Times New Roman"/>
      <w:vertAlign w:val="superscript"/>
    </w:rPr>
  </w:style>
  <w:style w:type="character" w:styleId="886">
    <w:name w:val="Strong"/>
    <w:basedOn w:val="882"/>
    <w:uiPriority w:val="22"/>
    <w:qFormat/>
    <w:pPr>
      <w:pBdr/>
      <w:spacing/>
      <w:ind/>
    </w:pPr>
    <w:rPr>
      <w:rFonts w:cs="Times New Roman"/>
      <w:b/>
    </w:rPr>
  </w:style>
  <w:style w:type="character" w:styleId="887">
    <w:name w:val="annotation reference"/>
    <w:basedOn w:val="882"/>
    <w:uiPriority w:val="99"/>
    <w:unhideWhenUsed/>
    <w:pPr>
      <w:pBdr/>
      <w:spacing/>
      <w:ind/>
    </w:pPr>
    <w:rPr>
      <w:rFonts w:cs="Times New Roman"/>
      <w:sz w:val="16"/>
    </w:rPr>
  </w:style>
  <w:style w:type="character" w:styleId="888">
    <w:name w:val="FollowedHyperlink"/>
    <w:basedOn w:val="882"/>
    <w:uiPriority w:val="99"/>
    <w:unhideWhenUsed/>
    <w:qFormat/>
    <w:pPr>
      <w:pBdr/>
      <w:spacing/>
      <w:ind/>
    </w:pPr>
    <w:rPr>
      <w:rFonts w:cs="Times New Roman"/>
      <w:u w:val="single"/>
    </w:rPr>
  </w:style>
  <w:style w:type="character" w:styleId="889">
    <w:name w:val="Emphasis"/>
    <w:basedOn w:val="882"/>
    <w:uiPriority w:val="99"/>
    <w:qFormat/>
    <w:pPr>
      <w:pBdr/>
      <w:spacing/>
      <w:ind/>
    </w:pPr>
    <w:rPr>
      <w:rFonts w:cs="Times New Roman"/>
      <w:i/>
    </w:rPr>
  </w:style>
  <w:style w:type="character" w:styleId="890">
    <w:name w:val="footnote reference"/>
    <w:basedOn w:val="882"/>
    <w:uiPriority w:val="99"/>
    <w:unhideWhenUsed/>
    <w:qFormat/>
    <w:pPr>
      <w:pBdr/>
      <w:spacing/>
      <w:ind/>
    </w:pPr>
    <w:rPr>
      <w:rFonts w:cs="Times New Roman"/>
      <w:vertAlign w:val="superscript"/>
    </w:rPr>
  </w:style>
  <w:style w:type="character" w:styleId="891">
    <w:name w:val="HTML Cite"/>
    <w:basedOn w:val="882"/>
    <w:uiPriority w:val="99"/>
    <w:unhideWhenUsed/>
    <w:pPr>
      <w:pBdr/>
      <w:spacing/>
      <w:ind/>
    </w:pPr>
    <w:rPr>
      <w:rFonts w:cs="Times New Roman"/>
      <w:i/>
    </w:rPr>
  </w:style>
  <w:style w:type="character" w:styleId="892">
    <w:name w:val="Hyperlink"/>
    <w:basedOn w:val="882"/>
    <w:uiPriority w:val="99"/>
    <w:unhideWhenUsed/>
    <w:qFormat/>
    <w:pPr>
      <w:pBdr/>
      <w:spacing/>
      <w:ind/>
    </w:pPr>
    <w:rPr>
      <w:rFonts w:cs="Times New Roman"/>
      <w:color w:val="0000ff"/>
      <w:u w:val="single"/>
    </w:rPr>
  </w:style>
  <w:style w:type="character" w:styleId="893">
    <w:name w:val="page number"/>
    <w:basedOn w:val="882"/>
    <w:uiPriority w:val="99"/>
    <w:unhideWhenUsed/>
    <w:qFormat/>
    <w:pPr>
      <w:pBdr/>
      <w:spacing/>
      <w:ind/>
    </w:pPr>
    <w:rPr>
      <w:rFonts w:cs="Times New Roman"/>
    </w:rPr>
  </w:style>
  <w:style w:type="paragraph" w:styleId="894">
    <w:name w:val="toc 2"/>
    <w:basedOn w:val="872"/>
    <w:next w:val="872"/>
    <w:uiPriority w:val="99"/>
    <w:unhideWhenUsed/>
    <w:pPr>
      <w:pBdr/>
      <w:spacing/>
      <w:ind w:left="200"/>
    </w:pPr>
  </w:style>
  <w:style w:type="paragraph" w:styleId="895">
    <w:name w:val="List"/>
    <w:basedOn w:val="896"/>
    <w:uiPriority w:val="99"/>
    <w:unhideWhenUsed/>
    <w:pPr>
      <w:pBdr/>
      <w:spacing/>
      <w:ind/>
    </w:pPr>
    <w:rPr>
      <w:rFonts w:cs="Arial"/>
    </w:rPr>
  </w:style>
  <w:style w:type="paragraph" w:styleId="896">
    <w:name w:val="Body Text"/>
    <w:basedOn w:val="872"/>
    <w:link w:val="1273"/>
    <w:uiPriority w:val="99"/>
    <w:unhideWhenUsed/>
    <w:qFormat/>
    <w:pPr>
      <w:pBdr/>
      <w:spacing w:after="120"/>
      <w:ind/>
    </w:pPr>
  </w:style>
  <w:style w:type="paragraph" w:styleId="897">
    <w:name w:val="toc 9"/>
    <w:basedOn w:val="898"/>
    <w:uiPriority w:val="99"/>
    <w:unhideWhenUsed/>
    <w:pPr>
      <w:pBdr/>
      <w:spacing/>
      <w:ind/>
    </w:pPr>
  </w:style>
  <w:style w:type="paragraph" w:styleId="898" w:customStyle="1">
    <w:name w:val="Ícdndice"/>
    <w:basedOn w:val="872"/>
    <w:uiPriority w:val="99"/>
    <w:unhideWhenUsed/>
    <w:pPr>
      <w:suppressLineNumbers w:val="true"/>
      <w:pBdr/>
      <w:spacing/>
      <w:ind/>
    </w:pPr>
    <w:rPr>
      <w:rFonts w:cs="Arial"/>
    </w:rPr>
  </w:style>
  <w:style w:type="paragraph" w:styleId="899">
    <w:name w:val="toc 6"/>
    <w:basedOn w:val="898"/>
    <w:uiPriority w:val="99"/>
    <w:unhideWhenUsed/>
    <w:pPr>
      <w:pBdr/>
      <w:spacing/>
      <w:ind/>
    </w:pPr>
  </w:style>
  <w:style w:type="paragraph" w:styleId="900">
    <w:name w:val="annotation text"/>
    <w:basedOn w:val="872"/>
    <w:link w:val="987"/>
    <w:uiPriority w:val="99"/>
    <w:unhideWhenUsed/>
    <w:pPr>
      <w:pBdr/>
      <w:spacing/>
      <w:ind/>
    </w:pPr>
    <w:rPr>
      <w:rFonts w:ascii="Ecofont_Spranq_eco_Sans" w:hAnsi="Ecofont_Spranq_eco_Sans" w:eastAsia="MS Mincho" w:cs="Tahoma"/>
    </w:rPr>
  </w:style>
  <w:style w:type="paragraph" w:styleId="901">
    <w:name w:val="toc 5"/>
    <w:basedOn w:val="898"/>
    <w:uiPriority w:val="99"/>
    <w:unhideWhenUsed/>
    <w:pPr>
      <w:pBdr/>
      <w:spacing/>
      <w:ind/>
    </w:pPr>
  </w:style>
  <w:style w:type="paragraph" w:styleId="902">
    <w:name w:val="Body Text Indent 2"/>
    <w:basedOn w:val="872"/>
    <w:link w:val="1055"/>
    <w:uiPriority w:val="99"/>
    <w:unhideWhenUsed/>
    <w:qFormat/>
    <w:pPr>
      <w:pBdr/>
      <w:spacing w:after="120" w:line="480" w:lineRule="auto"/>
      <w:ind w:left="283"/>
    </w:pPr>
  </w:style>
  <w:style w:type="paragraph" w:styleId="903">
    <w:name w:val="Title"/>
    <w:basedOn w:val="872"/>
    <w:next w:val="872"/>
    <w:link w:val="1157"/>
    <w:uiPriority w:val="99"/>
    <w:qFormat/>
    <w:pPr>
      <w:pBdr/>
      <w:spacing w:after="60" w:before="240"/>
      <w:ind/>
      <w:jc w:val="both"/>
    </w:pPr>
    <w:rPr>
      <w:rFonts w:ascii="Arial" w:hAnsi="Arial"/>
      <w:b/>
      <w:sz w:val="22"/>
      <w:szCs w:val="32"/>
    </w:rPr>
  </w:style>
  <w:style w:type="paragraph" w:styleId="904">
    <w:name w:val="endnote text"/>
    <w:basedOn w:val="872"/>
    <w:link w:val="1000"/>
    <w:uiPriority w:val="99"/>
    <w:unhideWhenUsed/>
    <w:qFormat/>
    <w:pPr>
      <w:pBdr/>
      <w:spacing/>
      <w:ind/>
    </w:pPr>
  </w:style>
  <w:style w:type="paragraph" w:styleId="905">
    <w:name w:val="Normal (Web)"/>
    <w:basedOn w:val="872"/>
    <w:uiPriority w:val="99"/>
    <w:unhideWhenUsed/>
    <w:qFormat/>
    <w:pPr>
      <w:pBdr/>
      <w:spacing w:afterAutospacing="1" w:beforeAutospacing="1"/>
      <w:ind/>
    </w:pPr>
    <w:rPr>
      <w:sz w:val="24"/>
      <w:szCs w:val="24"/>
    </w:rPr>
  </w:style>
  <w:style w:type="paragraph" w:styleId="906">
    <w:name w:val="Plain Text"/>
    <w:basedOn w:val="872"/>
    <w:link w:val="1285"/>
    <w:uiPriority w:val="99"/>
    <w:unhideWhenUsed/>
    <w:qFormat/>
    <w:pPr>
      <w:pBdr/>
      <w:spacing/>
      <w:ind/>
    </w:pPr>
    <w:rPr>
      <w:rFonts w:ascii="Courier New" w:hAnsi="Courier New"/>
    </w:rPr>
  </w:style>
  <w:style w:type="paragraph" w:styleId="907">
    <w:name w:val="toc 4"/>
    <w:basedOn w:val="898"/>
    <w:uiPriority w:val="99"/>
    <w:unhideWhenUsed/>
    <w:pPr>
      <w:pBdr/>
      <w:spacing/>
      <w:ind/>
    </w:pPr>
  </w:style>
  <w:style w:type="paragraph" w:styleId="908">
    <w:name w:val="toc 8"/>
    <w:basedOn w:val="898"/>
    <w:uiPriority w:val="99"/>
    <w:unhideWhenUsed/>
    <w:pPr>
      <w:pBdr/>
      <w:spacing/>
      <w:ind/>
    </w:pPr>
  </w:style>
  <w:style w:type="paragraph" w:styleId="909">
    <w:name w:val="Body Text 3"/>
    <w:basedOn w:val="872"/>
    <w:link w:val="1099"/>
    <w:uiPriority w:val="99"/>
    <w:unhideWhenUsed/>
    <w:qFormat/>
    <w:pPr>
      <w:widowControl w:val="false"/>
      <w:pBdr/>
      <w:spacing w:after="120"/>
      <w:ind/>
    </w:pPr>
    <w:rPr>
      <w:sz w:val="16"/>
      <w:szCs w:val="16"/>
      <w:lang w:val="en-US"/>
    </w:rPr>
  </w:style>
  <w:style w:type="paragraph" w:styleId="910">
    <w:name w:val="index heading"/>
    <w:basedOn w:val="911"/>
    <w:uiPriority w:val="99"/>
    <w:unhideWhenUsed/>
    <w:pPr>
      <w:pBdr/>
      <w:spacing/>
      <w:ind/>
    </w:pPr>
  </w:style>
  <w:style w:type="paragraph" w:styleId="911" w:customStyle="1">
    <w:name w:val="Tíedtulo"/>
    <w:basedOn w:val="872"/>
    <w:next w:val="896"/>
    <w:uiPriority w:val="99"/>
    <w:unhideWhenUsed/>
    <w:pPr>
      <w:keepNext w:val="true"/>
      <w:pBdr/>
      <w:spacing w:after="120" w:before="240"/>
      <w:ind/>
    </w:pPr>
    <w:rPr>
      <w:rFonts w:ascii="Liberation Sans" w:hAnsi="Liberation Sans" w:eastAsia="Microsoft YaHei" w:cs="Arial"/>
      <w:sz w:val="28"/>
      <w:szCs w:val="28"/>
    </w:rPr>
  </w:style>
  <w:style w:type="paragraph" w:styleId="912">
    <w:name w:val="Body Text 2"/>
    <w:basedOn w:val="872"/>
    <w:link w:val="955"/>
    <w:uiPriority w:val="99"/>
    <w:unhideWhenUsed/>
    <w:qFormat/>
    <w:pPr>
      <w:pBdr/>
      <w:spacing w:after="120" w:line="480" w:lineRule="auto"/>
      <w:ind/>
    </w:pPr>
  </w:style>
  <w:style w:type="paragraph" w:styleId="913">
    <w:name w:val="Header"/>
    <w:basedOn w:val="872"/>
    <w:link w:val="938"/>
    <w:uiPriority w:val="99"/>
    <w:unhideWhenUsed/>
    <w:qFormat/>
    <w:pPr>
      <w:widowControl w:val="false"/>
      <w:pBdr/>
      <w:tabs>
        <w:tab w:val="center" w:leader="none" w:pos="4419"/>
        <w:tab w:val="right" w:leader="none" w:pos="8838"/>
      </w:tabs>
      <w:spacing/>
      <w:ind/>
    </w:pPr>
    <w:rPr>
      <w:lang w:val="en-US"/>
    </w:rPr>
  </w:style>
  <w:style w:type="paragraph" w:styleId="914">
    <w:name w:val="annotation subject"/>
    <w:basedOn w:val="900"/>
    <w:next w:val="900"/>
    <w:link w:val="1046"/>
    <w:uiPriority w:val="99"/>
    <w:unhideWhenUsed/>
    <w:pPr>
      <w:pBdr/>
      <w:spacing/>
      <w:ind/>
    </w:pPr>
    <w:rPr>
      <w:b/>
    </w:rPr>
  </w:style>
  <w:style w:type="paragraph" w:styleId="915">
    <w:name w:val="Footer"/>
    <w:basedOn w:val="872"/>
    <w:link w:val="1085"/>
    <w:uiPriority w:val="99"/>
    <w:unhideWhenUsed/>
    <w:qFormat/>
    <w:pPr>
      <w:widowControl w:val="false"/>
      <w:pBdr/>
      <w:tabs>
        <w:tab w:val="center" w:leader="none" w:pos="4419"/>
        <w:tab w:val="right" w:leader="none" w:pos="8838"/>
      </w:tabs>
      <w:spacing/>
      <w:ind/>
    </w:pPr>
    <w:rPr>
      <w:lang w:val="en-US"/>
    </w:rPr>
  </w:style>
  <w:style w:type="paragraph" w:styleId="916">
    <w:name w:val="Caption"/>
    <w:basedOn w:val="872"/>
    <w:uiPriority w:val="99"/>
    <w:qFormat/>
    <w:pPr>
      <w:suppressLineNumbers w:val="true"/>
      <w:pBdr/>
      <w:spacing w:after="120" w:before="120"/>
      <w:ind/>
    </w:pPr>
    <w:rPr>
      <w:rFonts w:cs="Arial"/>
      <w:i/>
      <w:sz w:val="24"/>
      <w:szCs w:val="24"/>
    </w:rPr>
  </w:style>
  <w:style w:type="paragraph" w:styleId="917">
    <w:name w:val="toc 7"/>
    <w:basedOn w:val="898"/>
    <w:uiPriority w:val="99"/>
    <w:unhideWhenUsed/>
    <w:pPr>
      <w:pBdr/>
      <w:spacing/>
      <w:ind/>
    </w:pPr>
  </w:style>
  <w:style w:type="paragraph" w:styleId="918">
    <w:name w:val="Body Text Indent 3"/>
    <w:basedOn w:val="872"/>
    <w:link w:val="1026"/>
    <w:uiPriority w:val="99"/>
    <w:unhideWhenUsed/>
    <w:qFormat/>
    <w:pPr>
      <w:widowControl w:val="false"/>
      <w:pBdr/>
      <w:spacing/>
      <w:ind w:left="1418"/>
      <w:jc w:val="both"/>
    </w:pPr>
    <w:rPr>
      <w:rFonts w:ascii="Arial" w:hAnsi="Arial"/>
      <w:sz w:val="24"/>
      <w:lang w:val="en-US"/>
    </w:rPr>
  </w:style>
  <w:style w:type="paragraph" w:styleId="919">
    <w:name w:val="index 1"/>
    <w:basedOn w:val="872"/>
    <w:next w:val="872"/>
    <w:uiPriority w:val="99"/>
    <w:unhideWhenUsed/>
    <w:pPr>
      <w:pBdr/>
      <w:spacing/>
      <w:ind w:hanging="200" w:left="200"/>
    </w:pPr>
  </w:style>
  <w:style w:type="paragraph" w:styleId="920">
    <w:name w:val="toc 3"/>
    <w:basedOn w:val="898"/>
    <w:uiPriority w:val="99"/>
    <w:unhideWhenUsed/>
    <w:pPr>
      <w:pBdr/>
      <w:spacing/>
      <w:ind/>
    </w:pPr>
  </w:style>
  <w:style w:type="paragraph" w:styleId="921">
    <w:name w:val="Balloon Text"/>
    <w:basedOn w:val="872"/>
    <w:link w:val="1023"/>
    <w:uiPriority w:val="99"/>
    <w:unhideWhenUsed/>
    <w:qFormat/>
    <w:pPr>
      <w:pBdr/>
      <w:spacing/>
      <w:ind/>
    </w:pPr>
    <w:rPr>
      <w:rFonts w:ascii="Tahoma" w:hAnsi="Tahoma" w:cs="Tahoma"/>
      <w:sz w:val="16"/>
      <w:szCs w:val="16"/>
    </w:rPr>
  </w:style>
  <w:style w:type="paragraph" w:styleId="922">
    <w:name w:val="Subtitle"/>
    <w:basedOn w:val="872"/>
    <w:next w:val="872"/>
    <w:link w:val="1035"/>
    <w:uiPriority w:val="99"/>
    <w:qFormat/>
    <w:pPr>
      <w:pBdr/>
      <w:spacing w:after="200"/>
      <w:ind/>
    </w:pPr>
    <w:rPr>
      <w:rFonts w:ascii="Calibri Light" w:hAnsi="Calibri Light"/>
      <w:sz w:val="30"/>
      <w:szCs w:val="30"/>
      <w:lang w:eastAsia="en-US"/>
    </w:rPr>
  </w:style>
  <w:style w:type="paragraph" w:styleId="923">
    <w:name w:val="footnote text"/>
    <w:basedOn w:val="872"/>
    <w:link w:val="1108"/>
    <w:uiPriority w:val="99"/>
    <w:unhideWhenUsed/>
    <w:qFormat/>
    <w:pPr>
      <w:pBdr/>
      <w:spacing/>
      <w:ind/>
    </w:pPr>
  </w:style>
  <w:style w:type="paragraph" w:styleId="924">
    <w:name w:val="toc 1"/>
    <w:basedOn w:val="872"/>
    <w:next w:val="872"/>
    <w:uiPriority w:val="99"/>
    <w:unhideWhenUsed/>
    <w:pPr>
      <w:pBdr/>
      <w:tabs>
        <w:tab w:val="right" w:leader="dot" w:pos="9771"/>
      </w:tabs>
      <w:spacing w:after="80"/>
      <w:ind/>
      <w:jc w:val="center"/>
    </w:pPr>
    <w:rPr>
      <w:sz w:val="22"/>
      <w:szCs w:val="22"/>
    </w:rPr>
  </w:style>
  <w:style w:type="paragraph" w:styleId="925">
    <w:name w:val="Body Text Indent"/>
    <w:basedOn w:val="872"/>
    <w:link w:val="1148"/>
    <w:uiPriority w:val="99"/>
    <w:unhideWhenUsed/>
    <w:qFormat/>
    <w:pPr>
      <w:pBdr/>
      <w:spacing w:after="120"/>
      <w:ind w:left="283"/>
    </w:pPr>
    <w:rPr>
      <w:sz w:val="24"/>
      <w:szCs w:val="24"/>
      <w:lang w:val="en-US"/>
    </w:rPr>
  </w:style>
  <w:style w:type="character" w:styleId="926" w:customStyle="1">
    <w:name w:val="Título 1 Char"/>
    <w:basedOn w:val="882"/>
    <w:link w:val="873"/>
    <w:uiPriority w:val="9"/>
    <w:unhideWhenUsed/>
    <w:qFormat/>
    <w:pPr>
      <w:pBdr/>
      <w:spacing/>
      <w:ind/>
    </w:pPr>
    <w:rPr>
      <w:rFonts w:ascii="Calibri Light" w:cs="Calibri Light"/>
      <w:b/>
      <w:sz w:val="32"/>
      <w:szCs w:val="32"/>
    </w:rPr>
  </w:style>
  <w:style w:type="character" w:styleId="927" w:customStyle="1">
    <w:name w:val="Título 2 Char"/>
    <w:basedOn w:val="882"/>
    <w:link w:val="874"/>
    <w:uiPriority w:val="9"/>
    <w:unhideWhenUsed/>
    <w:qFormat/>
    <w:pPr>
      <w:pBdr/>
      <w:spacing/>
      <w:ind/>
    </w:pPr>
    <w:rPr>
      <w:rFonts w:ascii="Calibri Light" w:cs="Calibri Light"/>
      <w:b/>
      <w:i/>
      <w:sz w:val="28"/>
      <w:szCs w:val="28"/>
    </w:rPr>
  </w:style>
  <w:style w:type="character" w:styleId="928" w:customStyle="1">
    <w:name w:val="Título 3 Char"/>
    <w:basedOn w:val="882"/>
    <w:link w:val="875"/>
    <w:uiPriority w:val="9"/>
    <w:unhideWhenUsed/>
    <w:qFormat/>
    <w:pPr>
      <w:pBdr/>
      <w:spacing/>
      <w:ind/>
    </w:pPr>
    <w:rPr>
      <w:rFonts w:ascii="Calibri Light" w:cs="Calibri Light"/>
      <w:b/>
      <w:sz w:val="26"/>
      <w:szCs w:val="26"/>
    </w:rPr>
  </w:style>
  <w:style w:type="character" w:styleId="929" w:customStyle="1">
    <w:name w:val="Título 4 Char"/>
    <w:basedOn w:val="882"/>
    <w:link w:val="876"/>
    <w:uiPriority w:val="9"/>
    <w:unhideWhenUsed/>
    <w:qFormat/>
    <w:pPr>
      <w:pBdr/>
      <w:spacing/>
      <w:ind/>
    </w:pPr>
    <w:rPr>
      <w:rFonts w:cs="Times New Roman"/>
      <w:b/>
      <w:sz w:val="28"/>
      <w:szCs w:val="28"/>
    </w:rPr>
  </w:style>
  <w:style w:type="character" w:styleId="930" w:customStyle="1">
    <w:name w:val="Título 5 Char"/>
    <w:basedOn w:val="882"/>
    <w:link w:val="877"/>
    <w:uiPriority w:val="9"/>
    <w:unhideWhenUsed/>
    <w:qFormat/>
    <w:pPr>
      <w:pBdr/>
      <w:spacing/>
      <w:ind/>
    </w:pPr>
    <w:rPr>
      <w:rFonts w:cs="Times New Roman"/>
      <w:b/>
      <w:i/>
      <w:sz w:val="26"/>
      <w:szCs w:val="26"/>
    </w:rPr>
  </w:style>
  <w:style w:type="character" w:styleId="931" w:customStyle="1">
    <w:name w:val="Título 6 Char"/>
    <w:basedOn w:val="882"/>
    <w:link w:val="878"/>
    <w:uiPriority w:val="9"/>
    <w:unhideWhenUsed/>
    <w:pPr>
      <w:pBdr/>
      <w:spacing/>
      <w:ind/>
    </w:pPr>
    <w:rPr>
      <w:rFonts w:cs="Times New Roman"/>
      <w:b/>
    </w:rPr>
  </w:style>
  <w:style w:type="character" w:styleId="932" w:customStyle="1">
    <w:name w:val="Título 7 Char"/>
    <w:basedOn w:val="882"/>
    <w:link w:val="879"/>
    <w:uiPriority w:val="9"/>
    <w:unhideWhenUsed/>
    <w:pPr>
      <w:pBdr/>
      <w:spacing/>
      <w:ind/>
    </w:pPr>
    <w:rPr>
      <w:rFonts w:cs="Times New Roman"/>
    </w:rPr>
  </w:style>
  <w:style w:type="character" w:styleId="933" w:customStyle="1">
    <w:name w:val="Título 8 Char"/>
    <w:basedOn w:val="882"/>
    <w:link w:val="880"/>
    <w:uiPriority w:val="9"/>
    <w:unhideWhenUsed/>
    <w:pPr>
      <w:pBdr/>
      <w:spacing/>
      <w:ind/>
    </w:pPr>
    <w:rPr>
      <w:rFonts w:cs="Times New Roman"/>
      <w:i/>
    </w:rPr>
  </w:style>
  <w:style w:type="character" w:styleId="934" w:customStyle="1">
    <w:name w:val="Título 9 Char"/>
    <w:basedOn w:val="882"/>
    <w:link w:val="881"/>
    <w:uiPriority w:val="9"/>
    <w:unhideWhenUsed/>
    <w:pPr>
      <w:pBdr/>
      <w:spacing/>
      <w:ind/>
    </w:pPr>
    <w:rPr>
      <w:rFonts w:ascii="Calibri Light" w:cs="Calibri Light"/>
    </w:rPr>
  </w:style>
  <w:style w:type="character" w:styleId="935" w:customStyle="1">
    <w:name w:val="ListLabel 74"/>
    <w:uiPriority w:val="99"/>
    <w:unhideWhenUsed/>
    <w:pPr>
      <w:pBdr/>
      <w:spacing/>
      <w:ind/>
    </w:pPr>
  </w:style>
  <w:style w:type="character" w:styleId="936" w:customStyle="1">
    <w:name w:val="Referêeancia Intensa1"/>
    <w:uiPriority w:val="99"/>
    <w:unhideWhenUsed/>
    <w:pPr>
      <w:pBdr/>
      <w:spacing/>
      <w:ind/>
    </w:pPr>
    <w:rPr>
      <w:b/>
      <w:smallCaps/>
    </w:rPr>
  </w:style>
  <w:style w:type="character" w:styleId="937" w:customStyle="1">
    <w:name w:val="ListLabel 47"/>
    <w:uiPriority w:val="99"/>
    <w:unhideWhenUsed/>
    <w:pPr>
      <w:pBdr/>
      <w:spacing/>
      <w:ind/>
    </w:pPr>
  </w:style>
  <w:style w:type="character" w:styleId="938" w:customStyle="1">
    <w:name w:val="Cabeçalho Char"/>
    <w:basedOn w:val="882"/>
    <w:link w:val="913"/>
    <w:unhideWhenUsed/>
    <w:qFormat/>
    <w:pPr>
      <w:pBdr/>
      <w:spacing/>
      <w:ind/>
    </w:pPr>
    <w:rPr>
      <w:rFonts w:cs="Times New Roman"/>
      <w:sz w:val="20"/>
      <w:szCs w:val="20"/>
    </w:rPr>
  </w:style>
  <w:style w:type="character" w:styleId="939" w:customStyle="1">
    <w:name w:val="Cabeçe7alho Char1"/>
    <w:uiPriority w:val="99"/>
    <w:unhideWhenUsed/>
    <w:pPr>
      <w:pBdr/>
      <w:spacing/>
      <w:ind/>
    </w:pPr>
    <w:rPr>
      <w:sz w:val="20"/>
    </w:rPr>
  </w:style>
  <w:style w:type="character" w:styleId="940" w:customStyle="1">
    <w:name w:val="ListLabel 89"/>
    <w:uiPriority w:val="99"/>
    <w:unhideWhenUsed/>
    <w:pPr>
      <w:pBdr/>
      <w:spacing/>
      <w:ind/>
    </w:pPr>
    <w:rPr>
      <w:b/>
    </w:rPr>
  </w:style>
  <w:style w:type="character" w:styleId="941" w:customStyle="1">
    <w:name w:val="Corpo de texto 3 Char42"/>
    <w:basedOn w:val="882"/>
    <w:uiPriority w:val="99"/>
    <w:unhideWhenUsed/>
    <w:pPr>
      <w:pBdr/>
      <w:spacing/>
      <w:ind/>
    </w:pPr>
    <w:rPr>
      <w:rFonts w:cs="Times New Roman"/>
      <w:sz w:val="16"/>
      <w:szCs w:val="16"/>
    </w:rPr>
  </w:style>
  <w:style w:type="character" w:styleId="942" w:customStyle="1">
    <w:name w:val="ListLabel 4"/>
    <w:uiPriority w:val="99"/>
    <w:unhideWhenUsed/>
    <w:pPr>
      <w:pBdr/>
      <w:spacing/>
      <w:ind/>
    </w:pPr>
  </w:style>
  <w:style w:type="character" w:styleId="943" w:customStyle="1">
    <w:name w:val="_xdb"/>
    <w:uiPriority w:val="99"/>
    <w:unhideWhenUsed/>
    <w:pPr>
      <w:pBdr/>
      <w:spacing/>
      <w:ind/>
    </w:pPr>
  </w:style>
  <w:style w:type="character" w:styleId="944" w:customStyle="1">
    <w:name w:val="Cabeçalho Char2"/>
    <w:basedOn w:val="882"/>
    <w:uiPriority w:val="99"/>
    <w:unhideWhenUsed/>
    <w:pPr>
      <w:pBdr/>
      <w:spacing/>
      <w:ind/>
    </w:pPr>
    <w:rPr>
      <w:rFonts w:cs="Times New Roman"/>
      <w:sz w:val="20"/>
      <w:szCs w:val="20"/>
    </w:rPr>
  </w:style>
  <w:style w:type="character" w:styleId="945" w:customStyle="1">
    <w:name w:val="st"/>
    <w:uiPriority w:val="99"/>
    <w:unhideWhenUsed/>
    <w:pPr>
      <w:pBdr/>
      <w:spacing/>
      <w:ind/>
    </w:pPr>
  </w:style>
  <w:style w:type="character" w:styleId="946" w:customStyle="1">
    <w:name w:val="Assunto do comentáe1rio Char1"/>
    <w:uiPriority w:val="99"/>
    <w:unhideWhenUsed/>
    <w:pPr>
      <w:pBdr/>
      <w:spacing/>
      <w:ind/>
    </w:pPr>
    <w:rPr>
      <w:rFonts w:ascii="Ecofont_Spranq_eco_Sans" w:hAnsi="Ecofont_Spranq_eco_Sans" w:eastAsia="MS Mincho"/>
      <w:b/>
      <w:sz w:val="20"/>
    </w:rPr>
  </w:style>
  <w:style w:type="character" w:styleId="947" w:customStyle="1">
    <w:name w:val="ListLabel 61"/>
    <w:uiPriority w:val="99"/>
    <w:unhideWhenUsed/>
    <w:pPr>
      <w:pBdr/>
      <w:spacing/>
      <w:ind/>
    </w:pPr>
  </w:style>
  <w:style w:type="character" w:styleId="948" w:customStyle="1">
    <w:name w:val="ListLabel 84"/>
    <w:uiPriority w:val="99"/>
    <w:unhideWhenUsed/>
    <w:pPr>
      <w:pBdr/>
      <w:spacing/>
      <w:ind/>
    </w:pPr>
    <w:rPr>
      <w:b/>
    </w:rPr>
  </w:style>
  <w:style w:type="character" w:styleId="949" w:customStyle="1">
    <w:name w:val="ListLabel 31"/>
    <w:uiPriority w:val="99"/>
    <w:unhideWhenUsed/>
    <w:pPr>
      <w:pBdr/>
      <w:spacing/>
      <w:ind/>
    </w:pPr>
    <w:rPr>
      <w:b/>
    </w:rPr>
  </w:style>
  <w:style w:type="character" w:styleId="950" w:customStyle="1">
    <w:name w:val="Subtíedtulo Char11"/>
    <w:uiPriority w:val="99"/>
    <w:unhideWhenUsed/>
    <w:pPr>
      <w:pBdr/>
      <w:spacing/>
      <w:ind/>
    </w:pPr>
    <w:rPr>
      <w:rFonts w:ascii="Calibri Light"/>
    </w:rPr>
  </w:style>
  <w:style w:type="character" w:styleId="951" w:customStyle="1">
    <w:name w:val="Rodapé Char23"/>
    <w:basedOn w:val="882"/>
    <w:uiPriority w:val="99"/>
    <w:unhideWhenUsed/>
    <w:pPr>
      <w:pBdr/>
      <w:spacing/>
      <w:ind/>
    </w:pPr>
    <w:rPr>
      <w:rFonts w:cs="Times New Roman"/>
      <w:sz w:val="20"/>
      <w:szCs w:val="20"/>
    </w:rPr>
  </w:style>
  <w:style w:type="character" w:styleId="952" w:customStyle="1">
    <w:name w:val="ListLabel 27"/>
    <w:uiPriority w:val="99"/>
    <w:unhideWhenUsed/>
    <w:pPr>
      <w:pBdr/>
      <w:spacing/>
      <w:ind/>
    </w:pPr>
  </w:style>
  <w:style w:type="character" w:styleId="953" w:customStyle="1">
    <w:name w:val="Citação Intensa Char23"/>
    <w:basedOn w:val="882"/>
    <w:uiPriority w:val="30"/>
    <w:unhideWhenUsed/>
    <w:pPr>
      <w:pBdr/>
      <w:spacing/>
      <w:ind/>
    </w:pPr>
    <w:rPr>
      <w:rFonts w:cs="Times New Roman"/>
      <w:i/>
      <w:sz w:val="20"/>
      <w:szCs w:val="20"/>
    </w:rPr>
  </w:style>
  <w:style w:type="character" w:styleId="954" w:customStyle="1">
    <w:name w:val="Corpo de texto Char21"/>
    <w:uiPriority w:val="99"/>
    <w:unhideWhenUsed/>
    <w:pPr>
      <w:pBdr/>
      <w:spacing/>
      <w:ind/>
    </w:pPr>
    <w:rPr>
      <w:sz w:val="20"/>
    </w:rPr>
  </w:style>
  <w:style w:type="character" w:styleId="955" w:customStyle="1">
    <w:name w:val="Corpo de texto 2 Char3"/>
    <w:basedOn w:val="882"/>
    <w:link w:val="912"/>
    <w:uiPriority w:val="99"/>
    <w:unhideWhenUsed/>
    <w:pPr>
      <w:pBdr/>
      <w:spacing/>
      <w:ind/>
    </w:pPr>
    <w:rPr>
      <w:rFonts w:cs="Times New Roman"/>
      <w:sz w:val="20"/>
      <w:szCs w:val="20"/>
    </w:rPr>
  </w:style>
  <w:style w:type="character" w:styleId="956" w:customStyle="1">
    <w:name w:val="ListLabel 88"/>
    <w:uiPriority w:val="99"/>
    <w:unhideWhenUsed/>
    <w:pPr>
      <w:pBdr/>
      <w:spacing/>
      <w:ind/>
    </w:pPr>
    <w:rPr>
      <w:b/>
    </w:rPr>
  </w:style>
  <w:style w:type="character" w:styleId="957" w:customStyle="1">
    <w:name w:val="Citaçe7ãe3o Char1"/>
    <w:uiPriority w:val="99"/>
    <w:unhideWhenUsed/>
    <w:pPr>
      <w:pBdr/>
      <w:spacing/>
      <w:ind/>
    </w:pPr>
    <w:rPr>
      <w:i/>
      <w:sz w:val="20"/>
    </w:rPr>
  </w:style>
  <w:style w:type="character" w:styleId="958" w:customStyle="1">
    <w:name w:val="Corpo de texto 2 Char21"/>
    <w:uiPriority w:val="99"/>
    <w:unhideWhenUsed/>
    <w:pPr>
      <w:pBdr/>
      <w:spacing/>
      <w:ind/>
    </w:pPr>
    <w:rPr>
      <w:sz w:val="20"/>
    </w:rPr>
  </w:style>
  <w:style w:type="character" w:styleId="959" w:customStyle="1">
    <w:name w:val="font11"/>
    <w:unhideWhenUsed/>
    <w:qFormat/>
    <w:pPr>
      <w:pBdr/>
      <w:spacing/>
      <w:ind/>
    </w:pPr>
    <w:rPr>
      <w:rFonts w:ascii="Carlito"/>
      <w:color w:val="000000"/>
    </w:rPr>
  </w:style>
  <w:style w:type="character" w:styleId="960" w:customStyle="1">
    <w:name w:val="Citação Char2"/>
    <w:basedOn w:val="882"/>
    <w:uiPriority w:val="29"/>
    <w:unhideWhenUsed/>
    <w:pPr>
      <w:pBdr/>
      <w:spacing/>
      <w:ind/>
    </w:pPr>
    <w:rPr>
      <w:rFonts w:cs="Times New Roman"/>
      <w:i/>
      <w:sz w:val="20"/>
      <w:szCs w:val="20"/>
    </w:rPr>
  </w:style>
  <w:style w:type="character" w:styleId="961" w:customStyle="1">
    <w:name w:val="Tíedtulo Char1"/>
    <w:uiPriority w:val="99"/>
    <w:unhideWhenUsed/>
    <w:pPr>
      <w:pBdr/>
      <w:spacing/>
      <w:ind/>
    </w:pPr>
    <w:rPr>
      <w:rFonts w:ascii="Calibri Light"/>
      <w:b/>
      <w:sz w:val="32"/>
    </w:rPr>
  </w:style>
  <w:style w:type="character" w:styleId="962" w:customStyle="1">
    <w:name w:val="Tíedtulo 6 Char"/>
    <w:uiPriority w:val="99"/>
    <w:unhideWhenUsed/>
    <w:pPr>
      <w:pBdr/>
      <w:spacing/>
      <w:ind/>
    </w:pPr>
    <w:rPr>
      <w:rFonts w:ascii="Calibri Light"/>
      <w:sz w:val="21"/>
      <w:lang w:val="zh-CN" w:eastAsia="en-US"/>
    </w:rPr>
  </w:style>
  <w:style w:type="character" w:styleId="963" w:customStyle="1">
    <w:name w:val="Recuo de corpo de texto Char"/>
    <w:uiPriority w:val="99"/>
    <w:unhideWhenUsed/>
    <w:qFormat/>
    <w:pPr>
      <w:pBdr/>
      <w:spacing/>
      <w:ind/>
    </w:pPr>
    <w:rPr>
      <w:rFonts w:eastAsia="Times New Roman"/>
      <w:lang w:val="en-US" w:eastAsia="zh-CN"/>
    </w:rPr>
  </w:style>
  <w:style w:type="character" w:styleId="964" w:customStyle="1">
    <w:name w:val="Texto de nota de fim Char"/>
    <w:uiPriority w:val="99"/>
    <w:unhideWhenUsed/>
    <w:qFormat/>
    <w:pPr>
      <w:pBdr/>
      <w:spacing/>
      <w:ind/>
    </w:pPr>
  </w:style>
  <w:style w:type="character" w:styleId="965" w:customStyle="1">
    <w:name w:val="Recuo de corpo de texto Char41"/>
    <w:basedOn w:val="882"/>
    <w:uiPriority w:val="99"/>
    <w:unhideWhenUsed/>
    <w:pPr>
      <w:pBdr/>
      <w:spacing/>
      <w:ind/>
    </w:pPr>
    <w:rPr>
      <w:rFonts w:cs="Times New Roman"/>
      <w:sz w:val="20"/>
      <w:szCs w:val="20"/>
    </w:rPr>
  </w:style>
  <w:style w:type="character" w:styleId="966" w:customStyle="1">
    <w:name w:val="Texto sem Formataçe7ãe3o Char"/>
    <w:uiPriority w:val="99"/>
    <w:unhideWhenUsed/>
    <w:pPr>
      <w:pBdr/>
      <w:spacing/>
      <w:ind/>
    </w:pPr>
    <w:rPr>
      <w:rFonts w:ascii="Courier New"/>
    </w:rPr>
  </w:style>
  <w:style w:type="character" w:styleId="967" w:customStyle="1">
    <w:name w:val="Corpo de texto 3 Char4"/>
    <w:basedOn w:val="882"/>
    <w:uiPriority w:val="99"/>
    <w:unhideWhenUsed/>
    <w:pPr>
      <w:pBdr/>
      <w:spacing/>
      <w:ind/>
    </w:pPr>
    <w:rPr>
      <w:rFonts w:cs="Times New Roman"/>
      <w:sz w:val="16"/>
      <w:szCs w:val="16"/>
    </w:rPr>
  </w:style>
  <w:style w:type="character" w:styleId="968" w:customStyle="1">
    <w:name w:val="Recuo de corpo de texto 3 Char42"/>
    <w:basedOn w:val="882"/>
    <w:uiPriority w:val="99"/>
    <w:unhideWhenUsed/>
    <w:pPr>
      <w:pBdr/>
      <w:spacing/>
      <w:ind/>
    </w:pPr>
    <w:rPr>
      <w:rFonts w:cs="Times New Roman"/>
      <w:sz w:val="16"/>
      <w:szCs w:val="16"/>
    </w:rPr>
  </w:style>
  <w:style w:type="character" w:styleId="969" w:customStyle="1">
    <w:name w:val="ListLabel 77"/>
    <w:uiPriority w:val="99"/>
    <w:unhideWhenUsed/>
    <w:pPr>
      <w:pBdr/>
      <w:spacing/>
      <w:ind/>
    </w:pPr>
  </w:style>
  <w:style w:type="character" w:styleId="970" w:customStyle="1">
    <w:name w:val="Níedvel 3-R Char"/>
    <w:uiPriority w:val="99"/>
    <w:unhideWhenUsed/>
    <w:pPr>
      <w:pBdr/>
      <w:spacing/>
      <w:ind/>
    </w:pPr>
    <w:rPr>
      <w:rFonts w:ascii="Arial" w:hAnsi="Arial" w:eastAsia="MS Mincho"/>
      <w:i/>
      <w:color w:val="ff0000"/>
    </w:rPr>
  </w:style>
  <w:style w:type="character" w:styleId="971" w:customStyle="1">
    <w:name w:val="Corpo de texto 2 Char41"/>
    <w:basedOn w:val="882"/>
    <w:uiPriority w:val="99"/>
    <w:unhideWhenUsed/>
    <w:pPr>
      <w:pBdr/>
      <w:spacing/>
      <w:ind/>
    </w:pPr>
    <w:rPr>
      <w:rFonts w:cs="Times New Roman"/>
      <w:sz w:val="20"/>
      <w:szCs w:val="20"/>
    </w:rPr>
  </w:style>
  <w:style w:type="character" w:styleId="972" w:customStyle="1">
    <w:name w:val="Recuo de corpo de texto Char52"/>
    <w:basedOn w:val="882"/>
    <w:uiPriority w:val="99"/>
    <w:unhideWhenUsed/>
    <w:pPr>
      <w:pBdr/>
      <w:spacing/>
      <w:ind/>
    </w:pPr>
    <w:rPr>
      <w:rFonts w:cs="Times New Roman"/>
      <w:sz w:val="20"/>
      <w:szCs w:val="20"/>
    </w:rPr>
  </w:style>
  <w:style w:type="character" w:styleId="973" w:customStyle="1">
    <w:name w:val="hgkelc"/>
    <w:uiPriority w:val="99"/>
    <w:unhideWhenUsed/>
    <w:pPr>
      <w:pBdr/>
      <w:spacing/>
      <w:ind/>
    </w:pPr>
  </w:style>
  <w:style w:type="character" w:styleId="974" w:customStyle="1">
    <w:name w:val="Nivel 2 Char"/>
    <w:uiPriority w:val="99"/>
    <w:unhideWhenUsed/>
    <w:pPr>
      <w:pBdr/>
      <w:spacing/>
      <w:ind/>
    </w:pPr>
    <w:rPr>
      <w:rFonts w:ascii="Arial" w:hAnsi="Arial" w:eastAsia="MS Mincho"/>
      <w:color w:val="000000"/>
    </w:rPr>
  </w:style>
  <w:style w:type="character" w:styleId="975" w:customStyle="1">
    <w:name w:val="Texto de balãe3o Char21"/>
    <w:uiPriority w:val="99"/>
    <w:unhideWhenUsed/>
    <w:pPr>
      <w:pBdr/>
      <w:spacing/>
      <w:ind/>
    </w:pPr>
    <w:rPr>
      <w:rFonts w:ascii="Segoe UI"/>
      <w:sz w:val="18"/>
    </w:rPr>
  </w:style>
  <w:style w:type="character" w:styleId="976" w:customStyle="1">
    <w:name w:val="ListLabel 54"/>
    <w:uiPriority w:val="99"/>
    <w:unhideWhenUsed/>
    <w:pPr>
      <w:pBdr/>
      <w:spacing/>
      <w:ind/>
    </w:pPr>
  </w:style>
  <w:style w:type="character" w:styleId="977" w:customStyle="1">
    <w:name w:val="Texto de comentário Char12"/>
    <w:basedOn w:val="882"/>
    <w:uiPriority w:val="99"/>
    <w:unhideWhenUsed/>
    <w:pPr>
      <w:pBdr/>
      <w:spacing/>
      <w:ind/>
    </w:pPr>
    <w:rPr>
      <w:rFonts w:cs="Times New Roman"/>
      <w:sz w:val="20"/>
      <w:szCs w:val="20"/>
    </w:rPr>
  </w:style>
  <w:style w:type="character" w:styleId="978" w:customStyle="1">
    <w:name w:val="Tíedtulo Char11"/>
    <w:uiPriority w:val="99"/>
    <w:unhideWhenUsed/>
    <w:pPr>
      <w:pBdr/>
      <w:spacing/>
      <w:ind/>
    </w:pPr>
    <w:rPr>
      <w:rFonts w:ascii="Calibri Light"/>
      <w:b/>
      <w:sz w:val="32"/>
    </w:rPr>
  </w:style>
  <w:style w:type="character" w:styleId="979" w:customStyle="1">
    <w:name w:val="Texto de nota de fim Char53"/>
    <w:basedOn w:val="882"/>
    <w:uiPriority w:val="99"/>
    <w:unhideWhenUsed/>
    <w:pPr>
      <w:pBdr/>
      <w:spacing/>
      <w:ind/>
    </w:pPr>
    <w:rPr>
      <w:rFonts w:cs="Times New Roman"/>
      <w:sz w:val="20"/>
      <w:szCs w:val="20"/>
    </w:rPr>
  </w:style>
  <w:style w:type="character" w:styleId="980" w:customStyle="1">
    <w:name w:val="Texto sem Formataçe7ãe3o Char21"/>
    <w:uiPriority w:val="99"/>
    <w:unhideWhenUsed/>
    <w:pPr>
      <w:pBdr/>
      <w:spacing/>
      <w:ind/>
    </w:pPr>
    <w:rPr>
      <w:rFonts w:ascii="Courier New"/>
      <w:sz w:val="20"/>
    </w:rPr>
  </w:style>
  <w:style w:type="character" w:styleId="981" w:customStyle="1">
    <w:name w:val="Êcanfase Intensa1"/>
    <w:uiPriority w:val="99"/>
    <w:unhideWhenUsed/>
    <w:pPr>
      <w:pBdr/>
      <w:spacing/>
      <w:ind/>
    </w:pPr>
    <w:rPr>
      <w:b/>
      <w:i/>
    </w:rPr>
  </w:style>
  <w:style w:type="character" w:styleId="982" w:customStyle="1">
    <w:name w:val="Texto sem Formatação Char1"/>
    <w:basedOn w:val="882"/>
    <w:uiPriority w:val="99"/>
    <w:unhideWhenUsed/>
    <w:pPr>
      <w:pBdr/>
      <w:spacing/>
      <w:ind/>
    </w:pPr>
    <w:rPr>
      <w:rFonts w:ascii="Courier New" w:cs="Courier New"/>
      <w:sz w:val="20"/>
      <w:szCs w:val="20"/>
    </w:rPr>
  </w:style>
  <w:style w:type="character" w:styleId="983" w:customStyle="1">
    <w:name w:val="Citação Intensa Char"/>
    <w:basedOn w:val="882"/>
    <w:link w:val="984"/>
    <w:uiPriority w:val="30"/>
    <w:unhideWhenUsed/>
    <w:pPr>
      <w:pBdr/>
      <w:spacing/>
      <w:ind/>
    </w:pPr>
    <w:rPr>
      <w:rFonts w:cs="Times New Roman"/>
      <w:i/>
      <w:sz w:val="20"/>
      <w:szCs w:val="20"/>
    </w:rPr>
  </w:style>
  <w:style w:type="paragraph" w:styleId="984">
    <w:name w:val="Intense Quote"/>
    <w:basedOn w:val="872"/>
    <w:next w:val="872"/>
    <w:link w:val="983"/>
    <w:uiPriority w:val="99"/>
    <w:qFormat/>
    <w:pPr>
      <w:pBdr/>
      <w:spacing w:after="160" w:before="160" w:line="264" w:lineRule="auto"/>
      <w:ind w:right="720" w:left="720"/>
      <w:jc w:val="center"/>
    </w:pPr>
    <w:rPr>
      <w:rFonts w:ascii="Calibri Light" w:hAnsi="Calibri Light"/>
      <w:i/>
      <w:sz w:val="32"/>
      <w:szCs w:val="32"/>
      <w:lang w:eastAsia="en-US"/>
    </w:rPr>
  </w:style>
  <w:style w:type="character" w:styleId="985" w:customStyle="1">
    <w:name w:val="Êcanfase Sutil1"/>
    <w:uiPriority w:val="99"/>
    <w:unhideWhenUsed/>
    <w:pPr>
      <w:pBdr/>
      <w:spacing/>
      <w:ind/>
    </w:pPr>
    <w:rPr>
      <w:i/>
    </w:rPr>
  </w:style>
  <w:style w:type="character" w:styleId="986" w:customStyle="1">
    <w:name w:val="Assunto do comentário Char1"/>
    <w:basedOn w:val="987"/>
    <w:uiPriority w:val="99"/>
    <w:unhideWhenUsed/>
    <w:pPr>
      <w:pBdr/>
      <w:spacing/>
      <w:ind/>
    </w:pPr>
    <w:rPr>
      <w:rFonts w:cs="Times New Roman"/>
      <w:b/>
      <w:sz w:val="20"/>
      <w:szCs w:val="20"/>
    </w:rPr>
  </w:style>
  <w:style w:type="character" w:styleId="987" w:customStyle="1">
    <w:name w:val="Texto de comentário Char"/>
    <w:basedOn w:val="882"/>
    <w:link w:val="900"/>
    <w:uiPriority w:val="99"/>
    <w:unhideWhenUsed/>
    <w:pPr>
      <w:pBdr/>
      <w:spacing/>
      <w:ind/>
    </w:pPr>
    <w:rPr>
      <w:rFonts w:cs="Times New Roman"/>
      <w:sz w:val="20"/>
      <w:szCs w:val="20"/>
    </w:rPr>
  </w:style>
  <w:style w:type="character" w:styleId="988" w:customStyle="1">
    <w:name w:val="Texto de nota de fim Char21"/>
    <w:uiPriority w:val="99"/>
    <w:unhideWhenUsed/>
    <w:pPr>
      <w:pBdr/>
      <w:spacing/>
      <w:ind/>
    </w:pPr>
    <w:rPr>
      <w:sz w:val="20"/>
    </w:rPr>
  </w:style>
  <w:style w:type="character" w:styleId="989" w:customStyle="1">
    <w:name w:val="Rodapé Char11"/>
    <w:basedOn w:val="882"/>
    <w:uiPriority w:val="99"/>
    <w:unhideWhenUsed/>
    <w:pPr>
      <w:pBdr/>
      <w:spacing/>
      <w:ind/>
    </w:pPr>
    <w:rPr>
      <w:rFonts w:cs="Times New Roman"/>
      <w:sz w:val="20"/>
      <w:szCs w:val="20"/>
    </w:rPr>
  </w:style>
  <w:style w:type="character" w:styleId="990" w:customStyle="1">
    <w:name w:val="Recuo de corpo de texto 3 Char51"/>
    <w:basedOn w:val="882"/>
    <w:uiPriority w:val="99"/>
    <w:unhideWhenUsed/>
    <w:qFormat/>
    <w:pPr>
      <w:pBdr/>
      <w:spacing/>
      <w:ind/>
    </w:pPr>
    <w:rPr>
      <w:rFonts w:cs="Times New Roman"/>
      <w:sz w:val="16"/>
      <w:szCs w:val="16"/>
    </w:rPr>
  </w:style>
  <w:style w:type="character" w:styleId="991" w:customStyle="1">
    <w:name w:val="Texto de balão Char12"/>
    <w:basedOn w:val="882"/>
    <w:uiPriority w:val="99"/>
    <w:unhideWhenUsed/>
    <w:pPr>
      <w:pBdr/>
      <w:spacing/>
      <w:ind/>
    </w:pPr>
    <w:rPr>
      <w:rFonts w:ascii="Segoe UI" w:cs="Segoe UI"/>
      <w:sz w:val="18"/>
      <w:szCs w:val="18"/>
    </w:rPr>
  </w:style>
  <w:style w:type="character" w:styleId="992" w:customStyle="1">
    <w:name w:val="Subtítulo Char2"/>
    <w:basedOn w:val="882"/>
    <w:uiPriority w:val="11"/>
    <w:unhideWhenUsed/>
    <w:pPr>
      <w:pBdr/>
      <w:spacing/>
      <w:ind/>
    </w:pPr>
    <w:rPr>
      <w:rFonts w:hAnsi="Aptos Display" w:eastAsia="Times New Roman" w:cs="Times New Roman"/>
    </w:rPr>
  </w:style>
  <w:style w:type="character" w:styleId="993" w:customStyle="1">
    <w:name w:val="Texto de nota de rodapé Char2"/>
    <w:basedOn w:val="882"/>
    <w:uiPriority w:val="99"/>
    <w:unhideWhenUsed/>
    <w:pPr>
      <w:pBdr/>
      <w:spacing/>
      <w:ind/>
    </w:pPr>
    <w:rPr>
      <w:rFonts w:cs="Times New Roman"/>
      <w:sz w:val="20"/>
      <w:szCs w:val="20"/>
    </w:rPr>
  </w:style>
  <w:style w:type="character" w:styleId="994" w:customStyle="1">
    <w:name w:val="Corpo de texto 3 Char1"/>
    <w:uiPriority w:val="99"/>
    <w:unhideWhenUsed/>
    <w:pPr>
      <w:pBdr/>
      <w:spacing/>
      <w:ind/>
    </w:pPr>
    <w:rPr>
      <w:sz w:val="16"/>
    </w:rPr>
  </w:style>
  <w:style w:type="character" w:styleId="995" w:customStyle="1">
    <w:name w:val="Recuo de corpo de texto Char42"/>
    <w:basedOn w:val="882"/>
    <w:uiPriority w:val="99"/>
    <w:unhideWhenUsed/>
    <w:pPr>
      <w:pBdr/>
      <w:spacing/>
      <w:ind/>
    </w:pPr>
    <w:rPr>
      <w:rFonts w:cs="Times New Roman"/>
      <w:sz w:val="20"/>
      <w:szCs w:val="20"/>
    </w:rPr>
  </w:style>
  <w:style w:type="character" w:styleId="996" w:customStyle="1">
    <w:name w:val="Assunto do comentáe1rio Char"/>
    <w:uiPriority w:val="99"/>
    <w:unhideWhenUsed/>
    <w:pPr>
      <w:pBdr/>
      <w:spacing/>
      <w:ind/>
    </w:pPr>
    <w:rPr>
      <w:rFonts w:ascii="Ecofont_Spranq_eco_Sans" w:hAnsi="Ecofont_Spranq_eco_Sans" w:eastAsia="MS Mincho"/>
      <w:b/>
    </w:rPr>
  </w:style>
  <w:style w:type="character" w:styleId="997" w:customStyle="1">
    <w:name w:val="Corpo de texto 3 Char52"/>
    <w:basedOn w:val="882"/>
    <w:uiPriority w:val="99"/>
    <w:unhideWhenUsed/>
    <w:pPr>
      <w:pBdr/>
      <w:spacing/>
      <w:ind/>
    </w:pPr>
    <w:rPr>
      <w:rFonts w:cs="Times New Roman"/>
      <w:sz w:val="16"/>
      <w:szCs w:val="16"/>
    </w:rPr>
  </w:style>
  <w:style w:type="character" w:styleId="998" w:customStyle="1">
    <w:name w:val="Corpo de texto 2 Char2"/>
    <w:uiPriority w:val="99"/>
    <w:unhideWhenUsed/>
    <w:pPr>
      <w:pBdr/>
      <w:spacing/>
      <w:ind/>
    </w:pPr>
    <w:rPr>
      <w:sz w:val="20"/>
    </w:rPr>
  </w:style>
  <w:style w:type="character" w:styleId="999" w:customStyle="1">
    <w:name w:val="Corpo de texto 2 Char52"/>
    <w:basedOn w:val="882"/>
    <w:uiPriority w:val="99"/>
    <w:unhideWhenUsed/>
    <w:pPr>
      <w:pBdr/>
      <w:spacing/>
      <w:ind/>
    </w:pPr>
    <w:rPr>
      <w:rFonts w:cs="Times New Roman"/>
      <w:sz w:val="20"/>
      <w:szCs w:val="20"/>
    </w:rPr>
  </w:style>
  <w:style w:type="character" w:styleId="1000" w:customStyle="1">
    <w:name w:val="Texto de nota de fim Char3"/>
    <w:basedOn w:val="882"/>
    <w:link w:val="904"/>
    <w:uiPriority w:val="99"/>
    <w:unhideWhenUsed/>
    <w:pPr>
      <w:pBdr/>
      <w:spacing/>
      <w:ind/>
    </w:pPr>
    <w:rPr>
      <w:rFonts w:cs="Times New Roman"/>
      <w:sz w:val="20"/>
      <w:szCs w:val="20"/>
    </w:rPr>
  </w:style>
  <w:style w:type="character" w:styleId="1001" w:customStyle="1">
    <w:name w:val="ListLabel 2"/>
    <w:uiPriority w:val="99"/>
    <w:unhideWhenUsed/>
    <w:pPr>
      <w:pBdr/>
      <w:spacing/>
      <w:ind/>
    </w:pPr>
    <w:rPr>
      <w:sz w:val="20"/>
    </w:rPr>
  </w:style>
  <w:style w:type="character" w:styleId="1002" w:customStyle="1">
    <w:name w:val="ListLabel 45"/>
    <w:uiPriority w:val="99"/>
    <w:unhideWhenUsed/>
    <w:pPr>
      <w:pBdr/>
      <w:spacing/>
      <w:ind/>
    </w:pPr>
  </w:style>
  <w:style w:type="character" w:styleId="1003" w:customStyle="1">
    <w:name w:val="ListLabel 68"/>
    <w:uiPriority w:val="99"/>
    <w:unhideWhenUsed/>
    <w:pPr>
      <w:pBdr/>
      <w:spacing/>
      <w:ind/>
    </w:pPr>
  </w:style>
  <w:style w:type="character" w:styleId="1004" w:customStyle="1">
    <w:name w:val="Recuo de corpo de texto 3 Char21"/>
    <w:uiPriority w:val="99"/>
    <w:unhideWhenUsed/>
    <w:pPr>
      <w:pBdr/>
      <w:spacing/>
      <w:ind/>
    </w:pPr>
    <w:rPr>
      <w:sz w:val="16"/>
    </w:rPr>
  </w:style>
  <w:style w:type="character" w:styleId="1005" w:customStyle="1">
    <w:name w:val="ListLabel 85"/>
    <w:uiPriority w:val="99"/>
    <w:unhideWhenUsed/>
    <w:pPr>
      <w:pBdr/>
      <w:spacing/>
      <w:ind/>
    </w:pPr>
    <w:rPr>
      <w:b/>
    </w:rPr>
  </w:style>
  <w:style w:type="character" w:styleId="1006" w:customStyle="1">
    <w:name w:val="ListLabel 59"/>
    <w:uiPriority w:val="99"/>
    <w:unhideWhenUsed/>
    <w:pPr>
      <w:pBdr/>
      <w:spacing/>
      <w:ind/>
    </w:pPr>
  </w:style>
  <w:style w:type="character" w:styleId="1007" w:customStyle="1">
    <w:name w:val="ListLabel 3"/>
    <w:uiPriority w:val="99"/>
    <w:unhideWhenUsed/>
    <w:pPr>
      <w:pBdr/>
      <w:spacing/>
      <w:ind/>
    </w:pPr>
    <w:rPr>
      <w:sz w:val="20"/>
    </w:rPr>
  </w:style>
  <w:style w:type="character" w:styleId="1008" w:customStyle="1">
    <w:name w:val="ListLabel 33"/>
    <w:uiPriority w:val="99"/>
    <w:unhideWhenUsed/>
    <w:qFormat/>
    <w:pPr>
      <w:pBdr/>
      <w:spacing/>
      <w:ind/>
    </w:pPr>
  </w:style>
  <w:style w:type="character" w:styleId="1009" w:customStyle="1">
    <w:name w:val="ListLabel 60"/>
    <w:uiPriority w:val="99"/>
    <w:unhideWhenUsed/>
    <w:qFormat/>
    <w:pPr>
      <w:pBdr/>
      <w:spacing/>
      <w:ind/>
    </w:pPr>
  </w:style>
  <w:style w:type="character" w:styleId="1010" w:customStyle="1">
    <w:name w:val="Rodapée9 Char21"/>
    <w:uiPriority w:val="99"/>
    <w:unhideWhenUsed/>
    <w:pPr>
      <w:pBdr/>
      <w:spacing/>
      <w:ind/>
    </w:pPr>
    <w:rPr>
      <w:sz w:val="20"/>
    </w:rPr>
  </w:style>
  <w:style w:type="character" w:styleId="1011" w:customStyle="1">
    <w:name w:val="Título Char22"/>
    <w:basedOn w:val="882"/>
    <w:uiPriority w:val="10"/>
    <w:unhideWhenUsed/>
    <w:pPr>
      <w:pBdr/>
      <w:spacing/>
      <w:ind/>
    </w:pPr>
    <w:rPr>
      <w:rFonts w:hAnsi="Aptos Display" w:eastAsia="Times New Roman" w:cs="Times New Roman"/>
      <w:b/>
      <w:sz w:val="32"/>
      <w:szCs w:val="32"/>
    </w:rPr>
  </w:style>
  <w:style w:type="character" w:styleId="1012" w:customStyle="1">
    <w:name w:val="Recuo de corpo de texto 3 Char52"/>
    <w:basedOn w:val="882"/>
    <w:uiPriority w:val="99"/>
    <w:unhideWhenUsed/>
    <w:pPr>
      <w:pBdr/>
      <w:spacing/>
      <w:ind/>
    </w:pPr>
    <w:rPr>
      <w:rFonts w:cs="Times New Roman"/>
      <w:sz w:val="16"/>
      <w:szCs w:val="16"/>
    </w:rPr>
  </w:style>
  <w:style w:type="character" w:styleId="1013" w:customStyle="1">
    <w:name w:val="Subtítulo Char11"/>
    <w:basedOn w:val="882"/>
    <w:uiPriority w:val="11"/>
    <w:unhideWhenUsed/>
    <w:pPr>
      <w:pBdr/>
      <w:spacing/>
      <w:ind/>
    </w:pPr>
    <w:rPr>
      <w:rFonts w:hAnsi="Calibri Light" w:eastAsia="Times New Roman" w:cs="Times New Roman"/>
    </w:rPr>
  </w:style>
  <w:style w:type="character" w:styleId="1014" w:customStyle="1">
    <w:name w:val="Tíedtulo 4 Char"/>
    <w:uiPriority w:val="99"/>
    <w:unhideWhenUsed/>
    <w:pPr>
      <w:pBdr/>
      <w:spacing/>
      <w:ind/>
    </w:pPr>
    <w:rPr>
      <w:rFonts w:eastAsia="Times New Roman"/>
      <w:b/>
      <w:sz w:val="28"/>
    </w:rPr>
  </w:style>
  <w:style w:type="character" w:styleId="1015" w:customStyle="1">
    <w:name w:val="Texto de balãe3o Char2"/>
    <w:uiPriority w:val="99"/>
    <w:unhideWhenUsed/>
    <w:pPr>
      <w:pBdr/>
      <w:spacing/>
      <w:ind/>
    </w:pPr>
    <w:rPr>
      <w:rFonts w:ascii="Segoe UI"/>
      <w:sz w:val="18"/>
    </w:rPr>
  </w:style>
  <w:style w:type="character" w:styleId="1016" w:customStyle="1">
    <w:name w:val="Citação Char"/>
    <w:basedOn w:val="882"/>
    <w:link w:val="1017"/>
    <w:uiPriority w:val="29"/>
    <w:unhideWhenUsed/>
    <w:pPr>
      <w:pBdr/>
      <w:spacing/>
      <w:ind/>
    </w:pPr>
    <w:rPr>
      <w:rFonts w:cs="Times New Roman"/>
      <w:i/>
      <w:sz w:val="20"/>
      <w:szCs w:val="20"/>
    </w:rPr>
  </w:style>
  <w:style w:type="paragraph" w:styleId="1017">
    <w:name w:val="Quote"/>
    <w:basedOn w:val="872"/>
    <w:next w:val="872"/>
    <w:link w:val="1016"/>
    <w:uiPriority w:val="99"/>
    <w:qFormat/>
    <w:pPr>
      <w:pBdr/>
      <w:spacing w:after="160" w:before="200"/>
      <w:ind w:right="864" w:left="864"/>
      <w:jc w:val="center"/>
    </w:pPr>
    <w:rPr>
      <w:i/>
    </w:rPr>
  </w:style>
  <w:style w:type="character" w:styleId="1018" w:customStyle="1">
    <w:name w:val="Rodapé Char12"/>
    <w:basedOn w:val="882"/>
    <w:uiPriority w:val="99"/>
    <w:unhideWhenUsed/>
    <w:pPr>
      <w:pBdr/>
      <w:spacing/>
      <w:ind/>
    </w:pPr>
    <w:rPr>
      <w:rFonts w:cs="Times New Roman"/>
      <w:sz w:val="20"/>
      <w:szCs w:val="20"/>
    </w:rPr>
  </w:style>
  <w:style w:type="character" w:styleId="1019" w:customStyle="1">
    <w:name w:val="ListLabel 8"/>
    <w:uiPriority w:val="99"/>
    <w:unhideWhenUsed/>
    <w:pPr>
      <w:pBdr/>
      <w:spacing/>
      <w:ind/>
    </w:pPr>
  </w:style>
  <w:style w:type="character" w:styleId="1020" w:customStyle="1">
    <w:name w:val="Texto de comentáe1rio Char"/>
    <w:uiPriority w:val="99"/>
    <w:unhideWhenUsed/>
    <w:pPr>
      <w:pBdr/>
      <w:spacing/>
      <w:ind/>
    </w:pPr>
    <w:rPr>
      <w:rFonts w:ascii="Ecofont_Spranq_eco_Sans" w:hAnsi="Ecofont_Spranq_eco_Sans" w:eastAsia="MS Mincho"/>
    </w:rPr>
  </w:style>
  <w:style w:type="character" w:styleId="1021" w:customStyle="1">
    <w:name w:val="ListLabel 99"/>
    <w:uiPriority w:val="99"/>
    <w:unhideWhenUsed/>
    <w:pPr>
      <w:pBdr/>
      <w:spacing/>
      <w:ind/>
    </w:pPr>
  </w:style>
  <w:style w:type="character" w:styleId="1022" w:customStyle="1">
    <w:name w:val="ListLabel 13"/>
    <w:uiPriority w:val="99"/>
    <w:unhideWhenUsed/>
    <w:pPr>
      <w:pBdr/>
      <w:spacing/>
      <w:ind/>
    </w:pPr>
  </w:style>
  <w:style w:type="character" w:styleId="1023" w:customStyle="1">
    <w:name w:val="Texto de balão Char"/>
    <w:basedOn w:val="882"/>
    <w:link w:val="921"/>
    <w:uiPriority w:val="99"/>
    <w:unhideWhenUsed/>
    <w:qFormat/>
    <w:pPr>
      <w:pBdr/>
      <w:spacing/>
      <w:ind/>
    </w:pPr>
    <w:rPr>
      <w:rFonts w:ascii="Segoe UI" w:cs="Segoe UI"/>
      <w:sz w:val="18"/>
      <w:szCs w:val="18"/>
    </w:rPr>
  </w:style>
  <w:style w:type="character" w:styleId="1024" w:customStyle="1">
    <w:name w:val="Texto de nota de fim Char52"/>
    <w:basedOn w:val="882"/>
    <w:uiPriority w:val="99"/>
    <w:unhideWhenUsed/>
    <w:pPr>
      <w:pBdr/>
      <w:spacing/>
      <w:ind/>
    </w:pPr>
    <w:rPr>
      <w:rFonts w:cs="Times New Roman"/>
      <w:sz w:val="20"/>
      <w:szCs w:val="20"/>
    </w:rPr>
  </w:style>
  <w:style w:type="character" w:styleId="1025" w:customStyle="1">
    <w:name w:val="ListLabel 14"/>
    <w:uiPriority w:val="99"/>
    <w:unhideWhenUsed/>
    <w:pPr>
      <w:pBdr/>
      <w:spacing/>
      <w:ind/>
    </w:pPr>
  </w:style>
  <w:style w:type="character" w:styleId="1026" w:customStyle="1">
    <w:name w:val="Recuo de corpo de texto 3 Char3"/>
    <w:basedOn w:val="882"/>
    <w:link w:val="918"/>
    <w:uiPriority w:val="99"/>
    <w:unhideWhenUsed/>
    <w:pPr>
      <w:pBdr/>
      <w:spacing/>
      <w:ind/>
    </w:pPr>
    <w:rPr>
      <w:rFonts w:cs="Times New Roman"/>
      <w:sz w:val="16"/>
      <w:szCs w:val="16"/>
    </w:rPr>
  </w:style>
  <w:style w:type="character" w:styleId="1027" w:customStyle="1">
    <w:name w:val="Recuo de corpo de texto Char51"/>
    <w:basedOn w:val="882"/>
    <w:uiPriority w:val="99"/>
    <w:unhideWhenUsed/>
    <w:pPr>
      <w:pBdr/>
      <w:spacing/>
      <w:ind/>
    </w:pPr>
    <w:rPr>
      <w:rFonts w:cs="Times New Roman"/>
      <w:sz w:val="20"/>
      <w:szCs w:val="20"/>
    </w:rPr>
  </w:style>
  <w:style w:type="character" w:styleId="1028" w:customStyle="1">
    <w:name w:val="Corpo de texto 3 Char41"/>
    <w:basedOn w:val="882"/>
    <w:uiPriority w:val="99"/>
    <w:unhideWhenUsed/>
    <w:pPr>
      <w:pBdr/>
      <w:spacing/>
      <w:ind/>
    </w:pPr>
    <w:rPr>
      <w:rFonts w:cs="Times New Roman"/>
      <w:sz w:val="16"/>
      <w:szCs w:val="16"/>
    </w:rPr>
  </w:style>
  <w:style w:type="character" w:styleId="1029" w:customStyle="1">
    <w:name w:val="Subtíedtulo Char"/>
    <w:uiPriority w:val="99"/>
    <w:unhideWhenUsed/>
    <w:pPr>
      <w:pBdr/>
      <w:spacing/>
      <w:ind/>
    </w:pPr>
    <w:rPr>
      <w:rFonts w:ascii="Calibri Light"/>
      <w:sz w:val="30"/>
      <w:lang w:val="zh-CN" w:eastAsia="en-US"/>
    </w:rPr>
  </w:style>
  <w:style w:type="character" w:styleId="1030" w:customStyle="1">
    <w:name w:val="ListLabel 65"/>
    <w:uiPriority w:val="99"/>
    <w:unhideWhenUsed/>
    <w:pPr>
      <w:pBdr/>
      <w:spacing/>
      <w:ind/>
    </w:pPr>
  </w:style>
  <w:style w:type="character" w:styleId="1031" w:customStyle="1">
    <w:name w:val="Recuo de corpo de texto 2 Char5"/>
    <w:basedOn w:val="882"/>
    <w:uiPriority w:val="99"/>
    <w:unhideWhenUsed/>
    <w:pPr>
      <w:pBdr/>
      <w:spacing/>
      <w:ind/>
    </w:pPr>
    <w:rPr>
      <w:rFonts w:cs="Times New Roman"/>
      <w:sz w:val="20"/>
      <w:szCs w:val="20"/>
    </w:rPr>
  </w:style>
  <w:style w:type="character" w:styleId="1032" w:customStyle="1">
    <w:name w:val="Nivel 01 Char"/>
    <w:uiPriority w:val="99"/>
    <w:unhideWhenUsed/>
    <w:pPr>
      <w:pBdr/>
      <w:spacing/>
      <w:ind/>
    </w:pPr>
    <w:rPr>
      <w:rFonts w:ascii="Ecofont_Spranq_eco_Sans" w:hAnsi="Ecofont_Spranq_eco_Sans" w:eastAsia="MS Gothic"/>
      <w:b/>
      <w:color w:val="000000"/>
    </w:rPr>
  </w:style>
  <w:style w:type="character" w:styleId="1033" w:customStyle="1">
    <w:name w:val="Recuo de corpo de texto 3 Char53"/>
    <w:basedOn w:val="882"/>
    <w:uiPriority w:val="99"/>
    <w:unhideWhenUsed/>
    <w:pPr>
      <w:pBdr/>
      <w:spacing/>
      <w:ind/>
    </w:pPr>
    <w:rPr>
      <w:rFonts w:cs="Times New Roman"/>
      <w:sz w:val="16"/>
      <w:szCs w:val="16"/>
    </w:rPr>
  </w:style>
  <w:style w:type="character" w:styleId="1034" w:customStyle="1">
    <w:name w:val="ListLabel 49"/>
    <w:uiPriority w:val="99"/>
    <w:unhideWhenUsed/>
    <w:pPr>
      <w:pBdr/>
      <w:spacing/>
      <w:ind/>
    </w:pPr>
  </w:style>
  <w:style w:type="character" w:styleId="1035" w:customStyle="1">
    <w:name w:val="Subtítulo Char"/>
    <w:basedOn w:val="882"/>
    <w:link w:val="922"/>
    <w:uiPriority w:val="11"/>
    <w:unhideWhenUsed/>
    <w:pPr>
      <w:pBdr/>
      <w:spacing/>
      <w:ind/>
    </w:pPr>
    <w:rPr>
      <w:rFonts w:ascii="Calibri Light" w:cs="Calibri Light"/>
    </w:rPr>
  </w:style>
  <w:style w:type="character" w:styleId="1036" w:customStyle="1">
    <w:name w:val="Corpo de texto 2 Char"/>
    <w:uiPriority w:val="99"/>
    <w:unhideWhenUsed/>
    <w:qFormat/>
    <w:pPr>
      <w:pBdr/>
      <w:spacing/>
      <w:ind/>
    </w:pPr>
    <w:rPr>
      <w:rFonts w:eastAsia="Times New Roman"/>
    </w:rPr>
  </w:style>
  <w:style w:type="character" w:styleId="1037" w:customStyle="1">
    <w:name w:val="font41"/>
    <w:unhideWhenUsed/>
    <w:qFormat/>
    <w:pPr>
      <w:pBdr/>
      <w:spacing/>
      <w:ind/>
    </w:pPr>
    <w:rPr>
      <w:rFonts w:ascii="Arial"/>
      <w:color w:val="000000"/>
    </w:rPr>
  </w:style>
  <w:style w:type="character" w:styleId="1038" w:customStyle="1">
    <w:name w:val="Assunto do comentário Char2"/>
    <w:basedOn w:val="987"/>
    <w:uiPriority w:val="99"/>
    <w:unhideWhenUsed/>
    <w:pPr>
      <w:pBdr/>
      <w:spacing/>
      <w:ind/>
    </w:pPr>
    <w:rPr>
      <w:rFonts w:cs="Times New Roman"/>
      <w:b/>
      <w:sz w:val="20"/>
      <w:szCs w:val="20"/>
    </w:rPr>
  </w:style>
  <w:style w:type="character" w:styleId="1039" w:customStyle="1">
    <w:name w:val="ListLabel 51"/>
    <w:uiPriority w:val="99"/>
    <w:unhideWhenUsed/>
    <w:pPr>
      <w:pBdr/>
      <w:spacing/>
      <w:ind/>
    </w:pPr>
  </w:style>
  <w:style w:type="character" w:styleId="1040" w:customStyle="1">
    <w:name w:val="Recuo de corpo de texto 2 Char"/>
    <w:uiPriority w:val="99"/>
    <w:unhideWhenUsed/>
    <w:qFormat/>
    <w:pPr>
      <w:pBdr/>
      <w:spacing/>
      <w:ind/>
    </w:pPr>
    <w:rPr>
      <w:rFonts w:eastAsia="Times New Roman"/>
    </w:rPr>
  </w:style>
  <w:style w:type="character" w:styleId="1041" w:customStyle="1">
    <w:name w:val="Citação Char23"/>
    <w:basedOn w:val="882"/>
    <w:uiPriority w:val="29"/>
    <w:unhideWhenUsed/>
    <w:pPr>
      <w:pBdr/>
      <w:spacing/>
      <w:ind/>
    </w:pPr>
    <w:rPr>
      <w:rFonts w:cs="Times New Roman"/>
      <w:i/>
      <w:sz w:val="20"/>
      <w:szCs w:val="20"/>
    </w:rPr>
  </w:style>
  <w:style w:type="character" w:styleId="1042" w:customStyle="1">
    <w:name w:val="Subtítulo Char23"/>
    <w:basedOn w:val="882"/>
    <w:uiPriority w:val="11"/>
    <w:unhideWhenUsed/>
    <w:pPr>
      <w:pBdr/>
      <w:spacing/>
      <w:ind/>
    </w:pPr>
    <w:rPr>
      <w:rFonts w:hAnsi="Aptos Display" w:eastAsia="Times New Roman" w:cs="Times New Roman"/>
    </w:rPr>
  </w:style>
  <w:style w:type="character" w:styleId="1043" w:customStyle="1">
    <w:name w:val="ListLabel 46"/>
    <w:uiPriority w:val="99"/>
    <w:unhideWhenUsed/>
    <w:pPr>
      <w:pBdr/>
      <w:spacing/>
      <w:ind/>
    </w:pPr>
  </w:style>
  <w:style w:type="character" w:styleId="1044" w:customStyle="1">
    <w:name w:val="Título Char2"/>
    <w:basedOn w:val="882"/>
    <w:uiPriority w:val="10"/>
    <w:unhideWhenUsed/>
    <w:pPr>
      <w:pBdr/>
      <w:spacing/>
      <w:ind/>
    </w:pPr>
    <w:rPr>
      <w:rFonts w:hAnsi="Aptos Display" w:eastAsia="Times New Roman" w:cs="Times New Roman"/>
      <w:b/>
      <w:sz w:val="32"/>
      <w:szCs w:val="32"/>
    </w:rPr>
  </w:style>
  <w:style w:type="character" w:styleId="1045" w:customStyle="1">
    <w:name w:val="ListLabel 58"/>
    <w:uiPriority w:val="99"/>
    <w:unhideWhenUsed/>
    <w:pPr>
      <w:pBdr/>
      <w:spacing/>
      <w:ind/>
    </w:pPr>
  </w:style>
  <w:style w:type="character" w:styleId="1046" w:customStyle="1">
    <w:name w:val="Assunto do comentário Char"/>
    <w:basedOn w:val="987"/>
    <w:link w:val="914"/>
    <w:uiPriority w:val="99"/>
    <w:unhideWhenUsed/>
    <w:pPr>
      <w:pBdr/>
      <w:spacing/>
      <w:ind/>
    </w:pPr>
    <w:rPr>
      <w:rFonts w:cs="Times New Roman"/>
      <w:b/>
      <w:sz w:val="20"/>
      <w:szCs w:val="20"/>
    </w:rPr>
  </w:style>
  <w:style w:type="character" w:styleId="1047" w:customStyle="1">
    <w:name w:val="Texto de nota de fim Char41"/>
    <w:basedOn w:val="882"/>
    <w:uiPriority w:val="99"/>
    <w:unhideWhenUsed/>
    <w:pPr>
      <w:pBdr/>
      <w:spacing/>
      <w:ind/>
    </w:pPr>
    <w:rPr>
      <w:rFonts w:cs="Times New Roman"/>
      <w:sz w:val="20"/>
      <w:szCs w:val="20"/>
    </w:rPr>
  </w:style>
  <w:style w:type="character" w:styleId="1048" w:customStyle="1">
    <w:name w:val="ListLabel 37"/>
    <w:uiPriority w:val="99"/>
    <w:unhideWhenUsed/>
    <w:pPr>
      <w:pBdr/>
      <w:spacing/>
      <w:ind/>
    </w:pPr>
  </w:style>
  <w:style w:type="character" w:styleId="1049" w:customStyle="1">
    <w:name w:val="tex3"/>
    <w:unhideWhenUsed/>
    <w:qFormat/>
    <w:pPr>
      <w:pBdr/>
      <w:spacing/>
      <w:ind/>
    </w:pPr>
  </w:style>
  <w:style w:type="character" w:styleId="1050" w:customStyle="1">
    <w:name w:val="Recuo de corpo de texto 3 Char5"/>
    <w:basedOn w:val="882"/>
    <w:uiPriority w:val="99"/>
    <w:unhideWhenUsed/>
    <w:pPr>
      <w:pBdr/>
      <w:spacing/>
      <w:ind/>
    </w:pPr>
    <w:rPr>
      <w:rFonts w:cs="Times New Roman"/>
      <w:sz w:val="16"/>
      <w:szCs w:val="16"/>
    </w:rPr>
  </w:style>
  <w:style w:type="character" w:styleId="1051" w:customStyle="1">
    <w:name w:val="Ênfase Intensa1"/>
    <w:uiPriority w:val="21"/>
    <w:unhideWhenUsed/>
    <w:qFormat/>
    <w:pPr>
      <w:pBdr/>
      <w:spacing/>
      <w:ind/>
    </w:pPr>
    <w:rPr>
      <w:b/>
      <w:i/>
    </w:rPr>
  </w:style>
  <w:style w:type="character" w:styleId="1052" w:customStyle="1">
    <w:name w:val="ListLabel 12"/>
    <w:uiPriority w:val="99"/>
    <w:unhideWhenUsed/>
    <w:pPr>
      <w:pBdr/>
      <w:spacing/>
      <w:ind/>
    </w:pPr>
  </w:style>
  <w:style w:type="character" w:styleId="1053" w:customStyle="1">
    <w:name w:val="Corpo de texto 3 Char51"/>
    <w:basedOn w:val="882"/>
    <w:uiPriority w:val="99"/>
    <w:unhideWhenUsed/>
    <w:pPr>
      <w:pBdr/>
      <w:spacing/>
      <w:ind/>
    </w:pPr>
    <w:rPr>
      <w:rFonts w:cs="Times New Roman"/>
      <w:sz w:val="16"/>
      <w:szCs w:val="16"/>
    </w:rPr>
  </w:style>
  <w:style w:type="character" w:styleId="1054" w:customStyle="1">
    <w:name w:val="theme-text-color-4-3"/>
    <w:uiPriority w:val="99"/>
    <w:unhideWhenUsed/>
    <w:pPr>
      <w:pBdr/>
      <w:spacing/>
      <w:ind/>
    </w:pPr>
  </w:style>
  <w:style w:type="character" w:styleId="1055" w:customStyle="1">
    <w:name w:val="Recuo de corpo de texto 2 Char3"/>
    <w:basedOn w:val="882"/>
    <w:link w:val="902"/>
    <w:uiPriority w:val="99"/>
    <w:unhideWhenUsed/>
    <w:pPr>
      <w:pBdr/>
      <w:spacing/>
      <w:ind/>
    </w:pPr>
    <w:rPr>
      <w:rFonts w:cs="Times New Roman"/>
      <w:sz w:val="20"/>
      <w:szCs w:val="20"/>
    </w:rPr>
  </w:style>
  <w:style w:type="character" w:styleId="1056" w:customStyle="1">
    <w:name w:val="Tíedtulo Char"/>
    <w:uiPriority w:val="99"/>
    <w:unhideWhenUsed/>
    <w:pPr>
      <w:pBdr/>
      <w:spacing/>
      <w:ind/>
    </w:pPr>
    <w:rPr>
      <w:rFonts w:ascii="Arial"/>
      <w:b/>
      <w:sz w:val="32"/>
    </w:rPr>
  </w:style>
  <w:style w:type="character" w:styleId="1057" w:customStyle="1">
    <w:name w:val="ListLabel 79"/>
    <w:uiPriority w:val="99"/>
    <w:unhideWhenUsed/>
    <w:pPr>
      <w:pBdr/>
      <w:spacing/>
      <w:ind/>
    </w:pPr>
  </w:style>
  <w:style w:type="character" w:styleId="1058" w:customStyle="1">
    <w:name w:val="ListLabel 30"/>
    <w:uiPriority w:val="99"/>
    <w:unhideWhenUsed/>
    <w:pPr>
      <w:pBdr/>
      <w:spacing/>
      <w:ind/>
    </w:pPr>
    <w:rPr>
      <w:b/>
    </w:rPr>
  </w:style>
  <w:style w:type="character" w:styleId="1059" w:customStyle="1">
    <w:name w:val="Cabeçalho Char32"/>
    <w:basedOn w:val="882"/>
    <w:uiPriority w:val="99"/>
    <w:unhideWhenUsed/>
    <w:pPr>
      <w:pBdr/>
      <w:spacing/>
      <w:ind/>
    </w:pPr>
    <w:rPr>
      <w:rFonts w:cs="Times New Roman"/>
      <w:sz w:val="20"/>
      <w:szCs w:val="20"/>
    </w:rPr>
  </w:style>
  <w:style w:type="character" w:styleId="1060" w:customStyle="1">
    <w:name w:val="Recuo de corpo de texto Char5"/>
    <w:basedOn w:val="882"/>
    <w:uiPriority w:val="99"/>
    <w:unhideWhenUsed/>
    <w:pPr>
      <w:pBdr/>
      <w:spacing/>
      <w:ind/>
    </w:pPr>
    <w:rPr>
      <w:rFonts w:cs="Times New Roman"/>
      <w:sz w:val="20"/>
      <w:szCs w:val="20"/>
    </w:rPr>
  </w:style>
  <w:style w:type="character" w:styleId="1061" w:customStyle="1">
    <w:name w:val="normaltextrun"/>
    <w:uiPriority w:val="99"/>
    <w:unhideWhenUsed/>
    <w:pPr>
      <w:pBdr/>
      <w:spacing/>
      <w:ind/>
    </w:pPr>
  </w:style>
  <w:style w:type="character" w:styleId="1062" w:customStyle="1">
    <w:name w:val="Citação Intensa Char2"/>
    <w:basedOn w:val="882"/>
    <w:uiPriority w:val="30"/>
    <w:unhideWhenUsed/>
    <w:pPr>
      <w:pBdr/>
      <w:spacing/>
      <w:ind/>
    </w:pPr>
    <w:rPr>
      <w:rFonts w:cs="Times New Roman"/>
      <w:i/>
      <w:sz w:val="20"/>
      <w:szCs w:val="20"/>
    </w:rPr>
  </w:style>
  <w:style w:type="character" w:styleId="1063" w:customStyle="1">
    <w:name w:val="Recuo de corpo de texto 2 Char41"/>
    <w:basedOn w:val="882"/>
    <w:uiPriority w:val="99"/>
    <w:unhideWhenUsed/>
    <w:pPr>
      <w:pBdr/>
      <w:spacing/>
      <w:ind/>
    </w:pPr>
    <w:rPr>
      <w:rFonts w:cs="Times New Roman"/>
      <w:sz w:val="20"/>
      <w:szCs w:val="20"/>
    </w:rPr>
  </w:style>
  <w:style w:type="character" w:styleId="1064" w:customStyle="1">
    <w:name w:val="Texto de comentário Char23"/>
    <w:basedOn w:val="882"/>
    <w:uiPriority w:val="99"/>
    <w:unhideWhenUsed/>
    <w:pPr>
      <w:pBdr/>
      <w:spacing/>
      <w:ind/>
    </w:pPr>
    <w:rPr>
      <w:rFonts w:cs="Times New Roman"/>
      <w:sz w:val="20"/>
      <w:szCs w:val="20"/>
    </w:rPr>
  </w:style>
  <w:style w:type="character" w:styleId="1065" w:customStyle="1">
    <w:name w:val="font31"/>
    <w:unhideWhenUsed/>
    <w:qFormat/>
    <w:pPr>
      <w:pBdr/>
      <w:spacing/>
      <w:ind/>
    </w:pPr>
    <w:rPr>
      <w:rFonts w:ascii="Arial"/>
      <w:b/>
      <w:color w:val="000000"/>
    </w:rPr>
  </w:style>
  <w:style w:type="character" w:styleId="1066" w:customStyle="1">
    <w:name w:val="Corpo de texto 2 Char5"/>
    <w:basedOn w:val="882"/>
    <w:uiPriority w:val="99"/>
    <w:unhideWhenUsed/>
    <w:pPr>
      <w:pBdr/>
      <w:spacing/>
      <w:ind/>
    </w:pPr>
    <w:rPr>
      <w:rFonts w:cs="Times New Roman"/>
      <w:sz w:val="20"/>
      <w:szCs w:val="20"/>
    </w:rPr>
  </w:style>
  <w:style w:type="character" w:styleId="1067" w:customStyle="1">
    <w:name w:val="ListLabel 56"/>
    <w:uiPriority w:val="99"/>
    <w:unhideWhenUsed/>
    <w:pPr>
      <w:pBdr/>
      <w:spacing/>
      <w:ind/>
    </w:pPr>
  </w:style>
  <w:style w:type="character" w:styleId="1068" w:customStyle="1">
    <w:name w:val="Cabeçalho Char3"/>
    <w:basedOn w:val="882"/>
    <w:uiPriority w:val="99"/>
    <w:unhideWhenUsed/>
    <w:pPr>
      <w:pBdr/>
      <w:spacing/>
      <w:ind/>
    </w:pPr>
    <w:rPr>
      <w:rFonts w:cs="Times New Roman"/>
      <w:sz w:val="20"/>
      <w:szCs w:val="20"/>
    </w:rPr>
  </w:style>
  <w:style w:type="character" w:styleId="1069" w:customStyle="1">
    <w:name w:val="Texto de balão Char11"/>
    <w:basedOn w:val="882"/>
    <w:uiPriority w:val="99"/>
    <w:unhideWhenUsed/>
    <w:pPr>
      <w:pBdr/>
      <w:spacing/>
      <w:ind/>
    </w:pPr>
    <w:rPr>
      <w:rFonts w:ascii="Segoe UI" w:cs="Segoe UI"/>
      <w:sz w:val="18"/>
      <w:szCs w:val="18"/>
    </w:rPr>
  </w:style>
  <w:style w:type="character" w:styleId="1070" w:customStyle="1">
    <w:name w:val="Citação Char1"/>
    <w:basedOn w:val="882"/>
    <w:uiPriority w:val="29"/>
    <w:unhideWhenUsed/>
    <w:pPr>
      <w:pBdr/>
      <w:spacing/>
      <w:ind/>
    </w:pPr>
    <w:rPr>
      <w:rFonts w:cs="Times New Roman"/>
      <w:i/>
      <w:sz w:val="20"/>
      <w:szCs w:val="20"/>
    </w:rPr>
  </w:style>
  <w:style w:type="character" w:styleId="1071" w:customStyle="1">
    <w:name w:val="ListLabel 62"/>
    <w:uiPriority w:val="99"/>
    <w:unhideWhenUsed/>
    <w:pPr>
      <w:pBdr/>
      <w:spacing/>
      <w:ind/>
    </w:pPr>
  </w:style>
  <w:style w:type="character" w:styleId="1072" w:customStyle="1">
    <w:name w:val="ListLabel 1"/>
    <w:uiPriority w:val="99"/>
    <w:unhideWhenUsed/>
    <w:pPr>
      <w:pBdr/>
      <w:spacing/>
      <w:ind/>
    </w:pPr>
    <w:rPr>
      <w:b/>
    </w:rPr>
  </w:style>
  <w:style w:type="character" w:styleId="1073" w:customStyle="1">
    <w:name w:val="ListLabel 57"/>
    <w:uiPriority w:val="99"/>
    <w:unhideWhenUsed/>
    <w:pPr>
      <w:pBdr/>
      <w:spacing/>
      <w:ind/>
    </w:pPr>
  </w:style>
  <w:style w:type="character" w:styleId="1074" w:customStyle="1">
    <w:name w:val="ListLabel 95"/>
    <w:uiPriority w:val="99"/>
    <w:unhideWhenUsed/>
    <w:pPr>
      <w:pBdr/>
      <w:spacing/>
      <w:ind/>
    </w:pPr>
  </w:style>
  <w:style w:type="character" w:styleId="1075" w:customStyle="1">
    <w:name w:val="ListLabel 55"/>
    <w:uiPriority w:val="99"/>
    <w:unhideWhenUsed/>
    <w:pPr>
      <w:pBdr/>
      <w:spacing/>
      <w:ind/>
    </w:pPr>
  </w:style>
  <w:style w:type="character" w:styleId="1076" w:customStyle="1">
    <w:name w:val="Referêeancia Sutil1"/>
    <w:uiPriority w:val="99"/>
    <w:unhideWhenUsed/>
    <w:pPr>
      <w:pBdr/>
      <w:spacing/>
      <w:ind/>
    </w:pPr>
    <w:rPr>
      <w:smallCaps/>
      <w:color w:val="000000"/>
    </w:rPr>
  </w:style>
  <w:style w:type="character" w:styleId="1077" w:customStyle="1">
    <w:name w:val="Título Char23"/>
    <w:basedOn w:val="882"/>
    <w:uiPriority w:val="10"/>
    <w:unhideWhenUsed/>
    <w:pPr>
      <w:pBdr/>
      <w:spacing/>
      <w:ind/>
    </w:pPr>
    <w:rPr>
      <w:rFonts w:hAnsi="Aptos Display" w:eastAsia="Times New Roman" w:cs="Times New Roman"/>
      <w:b/>
      <w:sz w:val="32"/>
      <w:szCs w:val="32"/>
    </w:rPr>
  </w:style>
  <w:style w:type="character" w:styleId="1078" w:customStyle="1">
    <w:name w:val="Texto de nota de fim Char2"/>
    <w:uiPriority w:val="99"/>
    <w:unhideWhenUsed/>
    <w:pPr>
      <w:pBdr/>
      <w:spacing/>
      <w:ind/>
    </w:pPr>
    <w:rPr>
      <w:sz w:val="20"/>
    </w:rPr>
  </w:style>
  <w:style w:type="character" w:styleId="1079" w:customStyle="1">
    <w:name w:val="Corpo de texto Char4"/>
    <w:basedOn w:val="882"/>
    <w:uiPriority w:val="99"/>
    <w:unhideWhenUsed/>
    <w:pPr>
      <w:pBdr/>
      <w:spacing/>
      <w:ind/>
    </w:pPr>
    <w:rPr>
      <w:rFonts w:cs="Times New Roman"/>
      <w:sz w:val="20"/>
      <w:szCs w:val="20"/>
    </w:rPr>
  </w:style>
  <w:style w:type="character" w:styleId="1080" w:customStyle="1">
    <w:name w:val="Texto de balãe3o Char"/>
    <w:uiPriority w:val="99"/>
    <w:unhideWhenUsed/>
    <w:pPr>
      <w:pBdr/>
      <w:spacing/>
      <w:ind/>
    </w:pPr>
    <w:rPr>
      <w:rFonts w:ascii="Tahoma"/>
      <w:sz w:val="16"/>
    </w:rPr>
  </w:style>
  <w:style w:type="character" w:styleId="1081" w:customStyle="1">
    <w:name w:val="Cabeçalho Char22"/>
    <w:basedOn w:val="882"/>
    <w:uiPriority w:val="99"/>
    <w:unhideWhenUsed/>
    <w:pPr>
      <w:pBdr/>
      <w:spacing/>
      <w:ind/>
    </w:pPr>
    <w:rPr>
      <w:rFonts w:cs="Times New Roman"/>
      <w:sz w:val="20"/>
      <w:szCs w:val="20"/>
    </w:rPr>
  </w:style>
  <w:style w:type="character" w:styleId="1082" w:customStyle="1">
    <w:name w:val="Víednculo de íedndice"/>
    <w:uiPriority w:val="99"/>
    <w:unhideWhenUsed/>
    <w:pPr>
      <w:pBdr/>
      <w:spacing/>
      <w:ind/>
    </w:pPr>
  </w:style>
  <w:style w:type="character" w:styleId="1083" w:customStyle="1">
    <w:name w:val="Corpo de texto Char52"/>
    <w:basedOn w:val="882"/>
    <w:uiPriority w:val="99"/>
    <w:unhideWhenUsed/>
    <w:pPr>
      <w:pBdr/>
      <w:spacing/>
      <w:ind/>
    </w:pPr>
    <w:rPr>
      <w:rFonts w:cs="Times New Roman"/>
      <w:sz w:val="20"/>
      <w:szCs w:val="20"/>
    </w:rPr>
  </w:style>
  <w:style w:type="character" w:styleId="1084" w:customStyle="1">
    <w:name w:val="Recuo de corpo de texto Char21"/>
    <w:uiPriority w:val="99"/>
    <w:unhideWhenUsed/>
    <w:pPr>
      <w:pBdr/>
      <w:spacing/>
      <w:ind/>
    </w:pPr>
    <w:rPr>
      <w:sz w:val="20"/>
    </w:rPr>
  </w:style>
  <w:style w:type="character" w:styleId="1085" w:customStyle="1">
    <w:name w:val="Rodapé Char"/>
    <w:basedOn w:val="882"/>
    <w:link w:val="915"/>
    <w:uiPriority w:val="99"/>
    <w:unhideWhenUsed/>
    <w:qFormat/>
    <w:pPr>
      <w:pBdr/>
      <w:spacing/>
      <w:ind/>
    </w:pPr>
    <w:rPr>
      <w:rFonts w:cs="Times New Roman"/>
      <w:sz w:val="20"/>
      <w:szCs w:val="20"/>
    </w:rPr>
  </w:style>
  <w:style w:type="character" w:styleId="1086" w:customStyle="1">
    <w:name w:val="Corpo de texto 2 Char4"/>
    <w:basedOn w:val="882"/>
    <w:uiPriority w:val="99"/>
    <w:unhideWhenUsed/>
    <w:pPr>
      <w:pBdr/>
      <w:spacing/>
      <w:ind/>
    </w:pPr>
    <w:rPr>
      <w:rFonts w:cs="Times New Roman"/>
      <w:sz w:val="20"/>
      <w:szCs w:val="20"/>
    </w:rPr>
  </w:style>
  <w:style w:type="character" w:styleId="1087" w:customStyle="1">
    <w:name w:val="Recuo de corpo de texto 2 Char53"/>
    <w:basedOn w:val="882"/>
    <w:uiPriority w:val="99"/>
    <w:unhideWhenUsed/>
    <w:pPr>
      <w:pBdr/>
      <w:spacing/>
      <w:ind/>
    </w:pPr>
    <w:rPr>
      <w:rFonts w:cs="Times New Roman"/>
      <w:sz w:val="20"/>
      <w:szCs w:val="20"/>
    </w:rPr>
  </w:style>
  <w:style w:type="character" w:styleId="1088" w:customStyle="1">
    <w:name w:val="Rodapée9 Char"/>
    <w:uiPriority w:val="99"/>
    <w:unhideWhenUsed/>
    <w:pPr>
      <w:pBdr/>
      <w:spacing/>
      <w:ind/>
    </w:pPr>
    <w:rPr>
      <w:rFonts w:eastAsia="Times New Roman"/>
      <w:lang w:val="en-US" w:eastAsia="zh-CN"/>
    </w:rPr>
  </w:style>
  <w:style w:type="character" w:styleId="1089" w:customStyle="1">
    <w:name w:val="Recuo de corpo de texto 2 Char4"/>
    <w:basedOn w:val="882"/>
    <w:uiPriority w:val="99"/>
    <w:unhideWhenUsed/>
    <w:pPr>
      <w:pBdr/>
      <w:spacing/>
      <w:ind/>
    </w:pPr>
    <w:rPr>
      <w:rFonts w:cs="Times New Roman"/>
      <w:sz w:val="20"/>
      <w:szCs w:val="20"/>
    </w:rPr>
  </w:style>
  <w:style w:type="character" w:styleId="1090" w:customStyle="1">
    <w:name w:val="ListLabel 24"/>
    <w:uiPriority w:val="99"/>
    <w:unhideWhenUsed/>
    <w:pPr>
      <w:pBdr/>
      <w:spacing/>
      <w:ind/>
    </w:pPr>
  </w:style>
  <w:style w:type="character" w:styleId="1091" w:customStyle="1">
    <w:name w:val="ListLabel 39"/>
    <w:uiPriority w:val="99"/>
    <w:unhideWhenUsed/>
    <w:pPr>
      <w:pBdr/>
      <w:spacing/>
      <w:ind/>
    </w:pPr>
  </w:style>
  <w:style w:type="character" w:styleId="1092" w:customStyle="1">
    <w:name w:val="Texto de balão Char21"/>
    <w:basedOn w:val="882"/>
    <w:uiPriority w:val="99"/>
    <w:unhideWhenUsed/>
    <w:pPr>
      <w:pBdr/>
      <w:spacing/>
      <w:ind/>
    </w:pPr>
    <w:rPr>
      <w:rFonts w:ascii="Segoe UI" w:cs="Segoe UI"/>
      <w:sz w:val="18"/>
      <w:szCs w:val="18"/>
    </w:rPr>
  </w:style>
  <w:style w:type="character" w:styleId="1093" w:customStyle="1">
    <w:name w:val="ListLabel 20"/>
    <w:uiPriority w:val="99"/>
    <w:unhideWhenUsed/>
    <w:pPr>
      <w:pBdr/>
      <w:spacing/>
      <w:ind/>
    </w:pPr>
  </w:style>
  <w:style w:type="character" w:styleId="1094" w:customStyle="1">
    <w:name w:val="Subtíedtulo Char1"/>
    <w:uiPriority w:val="99"/>
    <w:unhideWhenUsed/>
    <w:pPr>
      <w:pBdr/>
      <w:spacing/>
      <w:ind/>
    </w:pPr>
    <w:rPr>
      <w:rFonts w:ascii="Calibri Light"/>
    </w:rPr>
  </w:style>
  <w:style w:type="character" w:styleId="1095" w:customStyle="1">
    <w:name w:val="ListLabel 90"/>
    <w:uiPriority w:val="99"/>
    <w:unhideWhenUsed/>
    <w:pPr>
      <w:pBdr/>
      <w:spacing/>
      <w:ind/>
    </w:pPr>
    <w:rPr>
      <w:b/>
    </w:rPr>
  </w:style>
  <w:style w:type="character" w:styleId="1096" w:customStyle="1">
    <w:name w:val="Texto de nota de rodapée9 Char21"/>
    <w:uiPriority w:val="99"/>
    <w:unhideWhenUsed/>
    <w:pPr>
      <w:pBdr/>
      <w:spacing/>
      <w:ind/>
    </w:pPr>
    <w:rPr>
      <w:sz w:val="20"/>
    </w:rPr>
  </w:style>
  <w:style w:type="character" w:styleId="1097" w:customStyle="1">
    <w:name w:val="ListLabel 21"/>
    <w:uiPriority w:val="99"/>
    <w:unhideWhenUsed/>
    <w:pPr>
      <w:pBdr/>
      <w:spacing/>
      <w:ind/>
    </w:pPr>
  </w:style>
  <w:style w:type="character" w:styleId="1098" w:customStyle="1">
    <w:name w:val="ListLabel 22"/>
    <w:uiPriority w:val="99"/>
    <w:unhideWhenUsed/>
    <w:pPr>
      <w:pBdr/>
      <w:spacing/>
      <w:ind/>
    </w:pPr>
  </w:style>
  <w:style w:type="character" w:styleId="1099" w:customStyle="1">
    <w:name w:val="Corpo de texto 3 Char3"/>
    <w:basedOn w:val="882"/>
    <w:link w:val="909"/>
    <w:uiPriority w:val="99"/>
    <w:unhideWhenUsed/>
    <w:pPr>
      <w:pBdr/>
      <w:spacing/>
      <w:ind/>
    </w:pPr>
    <w:rPr>
      <w:rFonts w:cs="Times New Roman"/>
      <w:sz w:val="16"/>
      <w:szCs w:val="16"/>
    </w:rPr>
  </w:style>
  <w:style w:type="character" w:styleId="1100" w:customStyle="1">
    <w:name w:val="ListLabel 71"/>
    <w:uiPriority w:val="99"/>
    <w:unhideWhenUsed/>
    <w:pPr>
      <w:pBdr/>
      <w:spacing/>
      <w:ind/>
    </w:pPr>
  </w:style>
  <w:style w:type="character" w:styleId="1101" w:customStyle="1">
    <w:name w:val="Texto de balão Char22"/>
    <w:basedOn w:val="882"/>
    <w:uiPriority w:val="99"/>
    <w:unhideWhenUsed/>
    <w:pPr>
      <w:pBdr/>
      <w:spacing/>
      <w:ind/>
    </w:pPr>
    <w:rPr>
      <w:rFonts w:ascii="Segoe UI" w:cs="Segoe UI"/>
      <w:sz w:val="18"/>
      <w:szCs w:val="18"/>
    </w:rPr>
  </w:style>
  <w:style w:type="character" w:styleId="1102" w:customStyle="1">
    <w:name w:val="Rodapé Char1"/>
    <w:basedOn w:val="882"/>
    <w:uiPriority w:val="99"/>
    <w:unhideWhenUsed/>
    <w:pPr>
      <w:pBdr/>
      <w:spacing/>
      <w:ind/>
    </w:pPr>
    <w:rPr>
      <w:rFonts w:cs="Times New Roman"/>
      <w:sz w:val="20"/>
      <w:szCs w:val="20"/>
    </w:rPr>
  </w:style>
  <w:style w:type="character" w:styleId="1103" w:customStyle="1">
    <w:name w:val="Paráe1grafo da Lista Char"/>
    <w:uiPriority w:val="99"/>
    <w:unhideWhenUsed/>
    <w:pPr>
      <w:pBdr/>
      <w:spacing/>
      <w:ind/>
    </w:pPr>
    <w:rPr>
      <w:rFonts w:ascii="Ecofont_Spranq_eco_Sans"/>
    </w:rPr>
  </w:style>
  <w:style w:type="character" w:styleId="1104" w:customStyle="1">
    <w:name w:val="Corpo de texto 2 Char42"/>
    <w:basedOn w:val="882"/>
    <w:uiPriority w:val="99"/>
    <w:unhideWhenUsed/>
    <w:pPr>
      <w:pBdr/>
      <w:spacing/>
      <w:ind/>
    </w:pPr>
    <w:rPr>
      <w:rFonts w:cs="Times New Roman"/>
      <w:sz w:val="20"/>
      <w:szCs w:val="20"/>
    </w:rPr>
  </w:style>
  <w:style w:type="character" w:styleId="1105" w:customStyle="1">
    <w:name w:val="Texto de nota de rodapé Char12"/>
    <w:basedOn w:val="882"/>
    <w:uiPriority w:val="99"/>
    <w:unhideWhenUsed/>
    <w:pPr>
      <w:pBdr/>
      <w:spacing/>
      <w:ind/>
    </w:pPr>
    <w:rPr>
      <w:rFonts w:cs="Times New Roman"/>
      <w:sz w:val="20"/>
      <w:szCs w:val="20"/>
    </w:rPr>
  </w:style>
  <w:style w:type="character" w:styleId="1106" w:customStyle="1">
    <w:name w:val="Recuo de corpo de texto Char1"/>
    <w:uiPriority w:val="99"/>
    <w:unhideWhenUsed/>
    <w:qFormat/>
    <w:pPr>
      <w:pBdr/>
      <w:spacing/>
      <w:ind/>
    </w:pPr>
    <w:rPr>
      <w:sz w:val="20"/>
    </w:rPr>
  </w:style>
  <w:style w:type="character" w:styleId="1107" w:customStyle="1">
    <w:name w:val="Texto de nota de fim Char5"/>
    <w:basedOn w:val="882"/>
    <w:uiPriority w:val="99"/>
    <w:unhideWhenUsed/>
    <w:qFormat/>
    <w:pPr>
      <w:pBdr/>
      <w:spacing/>
      <w:ind/>
    </w:pPr>
    <w:rPr>
      <w:rFonts w:cs="Times New Roman"/>
      <w:sz w:val="20"/>
      <w:szCs w:val="20"/>
    </w:rPr>
  </w:style>
  <w:style w:type="character" w:styleId="1108" w:customStyle="1">
    <w:name w:val="Texto de nota de rodapé Char"/>
    <w:basedOn w:val="882"/>
    <w:link w:val="923"/>
    <w:uiPriority w:val="99"/>
    <w:unhideWhenUsed/>
    <w:qFormat/>
    <w:pPr>
      <w:pBdr/>
      <w:spacing/>
      <w:ind/>
    </w:pPr>
    <w:rPr>
      <w:rFonts w:cs="Times New Roman"/>
      <w:sz w:val="20"/>
      <w:szCs w:val="20"/>
    </w:rPr>
  </w:style>
  <w:style w:type="character" w:styleId="1109" w:customStyle="1">
    <w:name w:val="ylgvce"/>
    <w:uiPriority w:val="99"/>
    <w:unhideWhenUsed/>
    <w:qFormat/>
    <w:pPr>
      <w:pBdr/>
      <w:spacing/>
      <w:ind/>
    </w:pPr>
  </w:style>
  <w:style w:type="character" w:styleId="1110" w:customStyle="1">
    <w:name w:val="ListLabel 92"/>
    <w:uiPriority w:val="99"/>
    <w:unhideWhenUsed/>
    <w:qFormat/>
    <w:pPr>
      <w:pBdr/>
      <w:spacing/>
      <w:ind/>
    </w:pPr>
  </w:style>
  <w:style w:type="character" w:styleId="1111" w:customStyle="1">
    <w:name w:val="ListLabel 91"/>
    <w:uiPriority w:val="99"/>
    <w:unhideWhenUsed/>
    <w:qFormat/>
    <w:pPr>
      <w:pBdr/>
      <w:spacing/>
      <w:ind/>
    </w:pPr>
  </w:style>
  <w:style w:type="character" w:styleId="1112" w:customStyle="1">
    <w:name w:val="ListLabel 50"/>
    <w:uiPriority w:val="99"/>
    <w:unhideWhenUsed/>
    <w:qFormat/>
    <w:pPr>
      <w:pBdr/>
      <w:spacing/>
      <w:ind/>
    </w:pPr>
  </w:style>
  <w:style w:type="character" w:styleId="1113" w:customStyle="1">
    <w:name w:val="Citaçe7ãe3o Char11"/>
    <w:uiPriority w:val="99"/>
    <w:unhideWhenUsed/>
    <w:qFormat/>
    <w:pPr>
      <w:pBdr/>
      <w:spacing/>
      <w:ind/>
    </w:pPr>
    <w:rPr>
      <w:i/>
      <w:sz w:val="20"/>
    </w:rPr>
  </w:style>
  <w:style w:type="character" w:styleId="1114" w:customStyle="1">
    <w:name w:val="Assunto do comentário Char21"/>
    <w:basedOn w:val="987"/>
    <w:uiPriority w:val="99"/>
    <w:unhideWhenUsed/>
    <w:pPr>
      <w:pBdr/>
      <w:spacing/>
      <w:ind/>
    </w:pPr>
    <w:rPr>
      <w:rFonts w:cs="Times New Roman"/>
      <w:b/>
      <w:sz w:val="20"/>
      <w:szCs w:val="20"/>
    </w:rPr>
  </w:style>
  <w:style w:type="character" w:styleId="1115" w:customStyle="1">
    <w:name w:val="citaçe7ãe3o 2 Char"/>
    <w:uiPriority w:val="99"/>
    <w:unhideWhenUsed/>
    <w:qFormat/>
    <w:pPr>
      <w:pBdr/>
      <w:spacing/>
      <w:ind/>
    </w:pPr>
    <w:rPr>
      <w:rFonts w:ascii="Arial"/>
      <w:i/>
      <w:color w:val="000000"/>
      <w:lang w:val="zh-CN" w:eastAsia="en-US"/>
    </w:rPr>
  </w:style>
  <w:style w:type="character" w:styleId="1116" w:customStyle="1">
    <w:name w:val="ListLabel 48"/>
    <w:uiPriority w:val="99"/>
    <w:unhideWhenUsed/>
    <w:qFormat/>
    <w:pPr>
      <w:pBdr/>
      <w:spacing/>
      <w:ind/>
    </w:pPr>
  </w:style>
  <w:style w:type="character" w:styleId="1117" w:customStyle="1">
    <w:name w:val="Subtítulo Char22"/>
    <w:basedOn w:val="882"/>
    <w:uiPriority w:val="11"/>
    <w:unhideWhenUsed/>
    <w:qFormat/>
    <w:pPr>
      <w:pBdr/>
      <w:spacing/>
      <w:ind/>
    </w:pPr>
    <w:rPr>
      <w:rFonts w:hAnsi="Aptos Display" w:eastAsia="Times New Roman" w:cs="Times New Roman"/>
    </w:rPr>
  </w:style>
  <w:style w:type="character" w:styleId="1118" w:customStyle="1">
    <w:name w:val="ListLabel 34"/>
    <w:uiPriority w:val="99"/>
    <w:unhideWhenUsed/>
    <w:qFormat/>
    <w:pPr>
      <w:pBdr/>
      <w:spacing/>
      <w:ind/>
    </w:pPr>
  </w:style>
  <w:style w:type="character" w:styleId="1119" w:customStyle="1">
    <w:name w:val="Parágrafo da Lista Char"/>
    <w:link w:val="1120"/>
    <w:uiPriority w:val="34"/>
    <w:unhideWhenUsed/>
    <w:qFormat/>
    <w:pPr>
      <w:pBdr/>
      <w:spacing/>
      <w:ind/>
    </w:pPr>
    <w:rPr>
      <w:rFonts w:ascii="Ecofont_Spranq_eco_Sans"/>
    </w:rPr>
  </w:style>
  <w:style w:type="paragraph" w:styleId="1120">
    <w:name w:val="List Paragraph"/>
    <w:basedOn w:val="872"/>
    <w:link w:val="1119"/>
    <w:uiPriority w:val="34"/>
    <w:qFormat/>
    <w:pPr>
      <w:pBdr/>
      <w:spacing/>
      <w:ind w:left="720"/>
    </w:pPr>
    <w:rPr>
      <w:rFonts w:ascii="Ecofont_Spranq_eco_Sans" w:hAnsi="Ecofont_Spranq_eco_Sans" w:cs="Tahoma"/>
      <w:sz w:val="24"/>
      <w:szCs w:val="24"/>
    </w:rPr>
  </w:style>
  <w:style w:type="character" w:styleId="1121" w:customStyle="1">
    <w:name w:val="ListLabel 66"/>
    <w:uiPriority w:val="99"/>
    <w:unhideWhenUsed/>
    <w:qFormat/>
    <w:pPr>
      <w:pBdr/>
      <w:spacing/>
      <w:ind/>
    </w:pPr>
  </w:style>
  <w:style w:type="character" w:styleId="1122" w:customStyle="1">
    <w:name w:val="font61"/>
    <w:unhideWhenUsed/>
    <w:qFormat/>
    <w:pPr>
      <w:pBdr/>
      <w:spacing/>
      <w:ind/>
    </w:pPr>
    <w:rPr>
      <w:rFonts w:ascii="Carlito"/>
    </w:rPr>
  </w:style>
  <w:style w:type="character" w:styleId="1123" w:customStyle="1">
    <w:name w:val="Texto de nota de fim Char42"/>
    <w:basedOn w:val="882"/>
    <w:uiPriority w:val="99"/>
    <w:unhideWhenUsed/>
    <w:qFormat/>
    <w:pPr>
      <w:pBdr/>
      <w:spacing/>
      <w:ind/>
    </w:pPr>
    <w:rPr>
      <w:rFonts w:cs="Times New Roman"/>
      <w:sz w:val="20"/>
      <w:szCs w:val="20"/>
    </w:rPr>
  </w:style>
  <w:style w:type="character" w:styleId="1124" w:customStyle="1">
    <w:name w:val="font112"/>
    <w:unhideWhenUsed/>
    <w:qFormat/>
    <w:pPr>
      <w:pBdr/>
      <w:spacing/>
      <w:ind/>
    </w:pPr>
    <w:rPr>
      <w:rFonts w:ascii="Arial"/>
    </w:rPr>
  </w:style>
  <w:style w:type="character" w:styleId="1125" w:customStyle="1">
    <w:name w:val="Assunto do comentário Char12"/>
    <w:basedOn w:val="987"/>
    <w:uiPriority w:val="99"/>
    <w:unhideWhenUsed/>
    <w:qFormat/>
    <w:pPr>
      <w:pBdr/>
      <w:spacing/>
      <w:ind/>
    </w:pPr>
    <w:rPr>
      <w:rFonts w:cs="Times New Roman"/>
      <w:b/>
      <w:sz w:val="20"/>
      <w:szCs w:val="20"/>
    </w:rPr>
  </w:style>
  <w:style w:type="character" w:styleId="1126" w:customStyle="1">
    <w:name w:val="ListLabel 23"/>
    <w:uiPriority w:val="99"/>
    <w:unhideWhenUsed/>
    <w:qFormat/>
    <w:pPr>
      <w:pBdr/>
      <w:spacing/>
      <w:ind/>
    </w:pPr>
  </w:style>
  <w:style w:type="character" w:styleId="1127" w:customStyle="1">
    <w:name w:val="vuuxrf"/>
    <w:uiPriority w:val="99"/>
    <w:unhideWhenUsed/>
    <w:qFormat/>
    <w:pPr>
      <w:pBdr/>
      <w:spacing/>
      <w:ind/>
    </w:pPr>
  </w:style>
  <w:style w:type="character" w:styleId="1128" w:customStyle="1">
    <w:name w:val="Ênfase Intensa2"/>
    <w:basedOn w:val="882"/>
    <w:uiPriority w:val="99"/>
    <w:qFormat/>
    <w:pPr>
      <w:pBdr/>
      <w:spacing/>
      <w:ind/>
    </w:pPr>
    <w:rPr>
      <w:rFonts w:cs="Times New Roman"/>
      <w:b/>
      <w:i/>
    </w:rPr>
  </w:style>
  <w:style w:type="character" w:styleId="1129" w:customStyle="1">
    <w:name w:val="Texto de nota de rodapée9 Char2"/>
    <w:uiPriority w:val="99"/>
    <w:unhideWhenUsed/>
    <w:qFormat/>
    <w:pPr>
      <w:pBdr/>
      <w:spacing/>
      <w:ind/>
    </w:pPr>
    <w:rPr>
      <w:sz w:val="20"/>
    </w:rPr>
  </w:style>
  <w:style w:type="character" w:styleId="1130" w:customStyle="1">
    <w:name w:val="Texto sem Formatação Char11"/>
    <w:basedOn w:val="882"/>
    <w:uiPriority w:val="99"/>
    <w:unhideWhenUsed/>
    <w:qFormat/>
    <w:pPr>
      <w:pBdr/>
      <w:spacing/>
      <w:ind/>
    </w:pPr>
    <w:rPr>
      <w:rFonts w:ascii="Courier New" w:cs="Courier New"/>
      <w:sz w:val="20"/>
      <w:szCs w:val="20"/>
    </w:rPr>
  </w:style>
  <w:style w:type="character" w:styleId="1131" w:customStyle="1">
    <w:name w:val="Texto sem Formataçe7ãe3o Char1"/>
    <w:uiPriority w:val="99"/>
    <w:unhideWhenUsed/>
    <w:qFormat/>
    <w:pPr>
      <w:pBdr/>
      <w:spacing/>
      <w:ind/>
    </w:pPr>
    <w:rPr>
      <w:rFonts w:ascii="Courier New"/>
      <w:sz w:val="20"/>
    </w:rPr>
  </w:style>
  <w:style w:type="character" w:styleId="1132" w:customStyle="1">
    <w:name w:val="Citação Intensa Char11"/>
    <w:basedOn w:val="882"/>
    <w:uiPriority w:val="30"/>
    <w:unhideWhenUsed/>
    <w:qFormat/>
    <w:pPr>
      <w:pBdr/>
      <w:spacing/>
      <w:ind/>
    </w:pPr>
    <w:rPr>
      <w:rFonts w:cs="Times New Roman"/>
      <w:i/>
      <w:sz w:val="20"/>
      <w:szCs w:val="20"/>
    </w:rPr>
  </w:style>
  <w:style w:type="character" w:styleId="1133" w:customStyle="1">
    <w:name w:val="Assunto do comentário Char22"/>
    <w:basedOn w:val="987"/>
    <w:uiPriority w:val="99"/>
    <w:unhideWhenUsed/>
    <w:qFormat/>
    <w:pPr>
      <w:pBdr/>
      <w:spacing/>
      <w:ind/>
    </w:pPr>
    <w:rPr>
      <w:rFonts w:cs="Times New Roman"/>
      <w:b/>
      <w:sz w:val="20"/>
      <w:szCs w:val="20"/>
    </w:rPr>
  </w:style>
  <w:style w:type="character" w:styleId="1134" w:customStyle="1">
    <w:name w:val="Texto sem Formataçe7ãe3o Char2"/>
    <w:uiPriority w:val="99"/>
    <w:unhideWhenUsed/>
    <w:qFormat/>
    <w:pPr>
      <w:pBdr/>
      <w:spacing/>
      <w:ind/>
    </w:pPr>
    <w:rPr>
      <w:rFonts w:ascii="Courier New"/>
      <w:sz w:val="20"/>
    </w:rPr>
  </w:style>
  <w:style w:type="character" w:styleId="1135" w:customStyle="1">
    <w:name w:val="Recuo de corpo de texto 2 Char1"/>
    <w:uiPriority w:val="99"/>
    <w:unhideWhenUsed/>
    <w:qFormat/>
    <w:pPr>
      <w:pBdr/>
      <w:spacing/>
      <w:ind/>
    </w:pPr>
    <w:rPr>
      <w:sz w:val="20"/>
    </w:rPr>
  </w:style>
  <w:style w:type="character" w:styleId="1136" w:customStyle="1">
    <w:name w:val="ListLabel 82"/>
    <w:uiPriority w:val="99"/>
    <w:unhideWhenUsed/>
    <w:qFormat/>
    <w:pPr>
      <w:pBdr/>
      <w:spacing/>
      <w:ind/>
    </w:pPr>
    <w:rPr>
      <w:b/>
    </w:rPr>
  </w:style>
  <w:style w:type="character" w:styleId="1137" w:customStyle="1">
    <w:name w:val="Rodapé Char21"/>
    <w:basedOn w:val="882"/>
    <w:uiPriority w:val="99"/>
    <w:unhideWhenUsed/>
    <w:qFormat/>
    <w:pPr>
      <w:pBdr/>
      <w:spacing/>
      <w:ind/>
    </w:pPr>
    <w:rPr>
      <w:rFonts w:cs="Times New Roman"/>
      <w:sz w:val="20"/>
      <w:szCs w:val="20"/>
    </w:rPr>
  </w:style>
  <w:style w:type="character" w:styleId="1138" w:customStyle="1">
    <w:name w:val="ListLabel 16"/>
    <w:uiPriority w:val="99"/>
    <w:unhideWhenUsed/>
    <w:pPr>
      <w:pBdr/>
      <w:spacing/>
      <w:ind/>
    </w:pPr>
  </w:style>
  <w:style w:type="character" w:styleId="1139" w:customStyle="1">
    <w:name w:val="Assunto do comentário Char23"/>
    <w:basedOn w:val="987"/>
    <w:uiPriority w:val="99"/>
    <w:unhideWhenUsed/>
    <w:pPr>
      <w:pBdr/>
      <w:spacing/>
      <w:ind/>
    </w:pPr>
    <w:rPr>
      <w:rFonts w:cs="Times New Roman"/>
      <w:b/>
      <w:sz w:val="20"/>
      <w:szCs w:val="20"/>
    </w:rPr>
  </w:style>
  <w:style w:type="character" w:styleId="1140" w:customStyle="1">
    <w:name w:val="Corpo de texto Char5"/>
    <w:basedOn w:val="882"/>
    <w:uiPriority w:val="99"/>
    <w:unhideWhenUsed/>
    <w:pPr>
      <w:pBdr/>
      <w:spacing/>
      <w:ind/>
    </w:pPr>
    <w:rPr>
      <w:rFonts w:cs="Times New Roman"/>
      <w:sz w:val="20"/>
      <w:szCs w:val="20"/>
    </w:rPr>
  </w:style>
  <w:style w:type="character" w:styleId="1141" w:customStyle="1">
    <w:name w:val="Texto de comentário Char11"/>
    <w:basedOn w:val="882"/>
    <w:uiPriority w:val="99"/>
    <w:unhideWhenUsed/>
    <w:pPr>
      <w:pBdr/>
      <w:spacing/>
      <w:ind/>
    </w:pPr>
    <w:rPr>
      <w:rFonts w:cs="Times New Roman"/>
      <w:sz w:val="20"/>
      <w:szCs w:val="20"/>
    </w:rPr>
  </w:style>
  <w:style w:type="character" w:styleId="1142" w:customStyle="1">
    <w:name w:val="Texto de comentário Char21"/>
    <w:basedOn w:val="882"/>
    <w:uiPriority w:val="99"/>
    <w:unhideWhenUsed/>
    <w:pPr>
      <w:pBdr/>
      <w:spacing/>
      <w:ind/>
    </w:pPr>
    <w:rPr>
      <w:rFonts w:cs="Times New Roman"/>
      <w:sz w:val="20"/>
      <w:szCs w:val="20"/>
    </w:rPr>
  </w:style>
  <w:style w:type="character" w:styleId="1143" w:customStyle="1">
    <w:name w:val="Rodapée9 Char1"/>
    <w:uiPriority w:val="99"/>
    <w:unhideWhenUsed/>
    <w:pPr>
      <w:pBdr/>
      <w:spacing/>
      <w:ind/>
    </w:pPr>
    <w:rPr>
      <w:sz w:val="20"/>
    </w:rPr>
  </w:style>
  <w:style w:type="character" w:styleId="1144" w:customStyle="1">
    <w:name w:val="ListLabel 42"/>
    <w:uiPriority w:val="99"/>
    <w:unhideWhenUsed/>
    <w:pPr>
      <w:pBdr/>
      <w:spacing/>
      <w:ind/>
    </w:pPr>
  </w:style>
  <w:style w:type="character" w:styleId="1145" w:customStyle="1">
    <w:name w:val="Citaçe7ãe3o Intensa Char"/>
    <w:uiPriority w:val="99"/>
    <w:unhideWhenUsed/>
    <w:pPr>
      <w:pBdr/>
      <w:spacing/>
      <w:ind/>
    </w:pPr>
    <w:rPr>
      <w:rFonts w:ascii="Calibri Light"/>
      <w:i/>
      <w:sz w:val="32"/>
      <w:lang w:val="zh-CN" w:eastAsia="en-US"/>
    </w:rPr>
  </w:style>
  <w:style w:type="character" w:styleId="1146" w:customStyle="1">
    <w:name w:val="ListLabel 87"/>
    <w:uiPriority w:val="99"/>
    <w:unhideWhenUsed/>
    <w:pPr>
      <w:pBdr/>
      <w:spacing/>
      <w:ind/>
    </w:pPr>
    <w:rPr>
      <w:b/>
    </w:rPr>
  </w:style>
  <w:style w:type="character" w:styleId="1147" w:customStyle="1">
    <w:name w:val="ListLabel 93"/>
    <w:uiPriority w:val="99"/>
    <w:unhideWhenUsed/>
    <w:pPr>
      <w:pBdr/>
      <w:spacing/>
      <w:ind/>
    </w:pPr>
  </w:style>
  <w:style w:type="character" w:styleId="1148" w:customStyle="1">
    <w:name w:val="Recuo de corpo de texto Char3"/>
    <w:basedOn w:val="882"/>
    <w:link w:val="925"/>
    <w:uiPriority w:val="99"/>
    <w:unhideWhenUsed/>
    <w:pPr>
      <w:pBdr/>
      <w:spacing/>
      <w:ind/>
    </w:pPr>
    <w:rPr>
      <w:rFonts w:cs="Times New Roman"/>
      <w:sz w:val="20"/>
      <w:szCs w:val="20"/>
    </w:rPr>
  </w:style>
  <w:style w:type="character" w:styleId="1149" w:customStyle="1">
    <w:name w:val="Texto de comentáe1rio Char11"/>
    <w:uiPriority w:val="99"/>
    <w:unhideWhenUsed/>
    <w:pPr>
      <w:pBdr/>
      <w:spacing/>
      <w:ind/>
    </w:pPr>
    <w:rPr>
      <w:sz w:val="20"/>
    </w:rPr>
  </w:style>
  <w:style w:type="character" w:styleId="1150" w:customStyle="1">
    <w:name w:val="Texto de nota de rodapé Char22"/>
    <w:basedOn w:val="882"/>
    <w:uiPriority w:val="99"/>
    <w:unhideWhenUsed/>
    <w:pPr>
      <w:pBdr/>
      <w:spacing/>
      <w:ind/>
    </w:pPr>
    <w:rPr>
      <w:rFonts w:cs="Times New Roman"/>
      <w:sz w:val="20"/>
      <w:szCs w:val="20"/>
    </w:rPr>
  </w:style>
  <w:style w:type="character" w:styleId="1151" w:customStyle="1">
    <w:name w:val="ListLabel 5"/>
    <w:uiPriority w:val="99"/>
    <w:unhideWhenUsed/>
    <w:pPr>
      <w:pBdr/>
      <w:spacing/>
      <w:ind/>
    </w:pPr>
  </w:style>
  <w:style w:type="character" w:styleId="1152" w:customStyle="1">
    <w:name w:val="Citação Intensa Char1"/>
    <w:basedOn w:val="882"/>
    <w:uiPriority w:val="30"/>
    <w:unhideWhenUsed/>
    <w:pPr>
      <w:pBdr/>
      <w:spacing/>
      <w:ind/>
    </w:pPr>
    <w:rPr>
      <w:rFonts w:cs="Times New Roman"/>
      <w:i/>
      <w:sz w:val="20"/>
      <w:szCs w:val="20"/>
    </w:rPr>
  </w:style>
  <w:style w:type="character" w:styleId="1153" w:customStyle="1">
    <w:name w:val="Texto de nota de rodapé Char11"/>
    <w:basedOn w:val="882"/>
    <w:uiPriority w:val="99"/>
    <w:unhideWhenUsed/>
    <w:pPr>
      <w:pBdr/>
      <w:spacing/>
      <w:ind/>
    </w:pPr>
    <w:rPr>
      <w:rFonts w:cs="Times New Roman"/>
      <w:sz w:val="20"/>
      <w:szCs w:val="20"/>
    </w:rPr>
  </w:style>
  <w:style w:type="character" w:styleId="1154" w:customStyle="1">
    <w:name w:val="Recuo de corpo de texto 3 Char4"/>
    <w:basedOn w:val="882"/>
    <w:uiPriority w:val="99"/>
    <w:unhideWhenUsed/>
    <w:pPr>
      <w:pBdr/>
      <w:spacing/>
      <w:ind/>
    </w:pPr>
    <w:rPr>
      <w:rFonts w:cs="Times New Roman"/>
      <w:sz w:val="16"/>
      <w:szCs w:val="16"/>
    </w:rPr>
  </w:style>
  <w:style w:type="character" w:styleId="1155" w:customStyle="1">
    <w:name w:val="Corpo de texto Char"/>
    <w:uiPriority w:val="99"/>
    <w:unhideWhenUsed/>
    <w:qFormat/>
    <w:pPr>
      <w:pBdr/>
      <w:spacing/>
      <w:ind/>
    </w:pPr>
    <w:rPr>
      <w:rFonts w:eastAsia="Times New Roman"/>
    </w:rPr>
  </w:style>
  <w:style w:type="character" w:styleId="1156" w:customStyle="1">
    <w:name w:val="ListLabel 38"/>
    <w:uiPriority w:val="99"/>
    <w:unhideWhenUsed/>
    <w:pPr>
      <w:pBdr/>
      <w:spacing/>
      <w:ind/>
    </w:pPr>
  </w:style>
  <w:style w:type="character" w:styleId="1157" w:customStyle="1">
    <w:name w:val="Título Char"/>
    <w:basedOn w:val="882"/>
    <w:link w:val="903"/>
    <w:uiPriority w:val="10"/>
    <w:unhideWhenUsed/>
    <w:pPr>
      <w:pBdr/>
      <w:spacing/>
      <w:ind/>
    </w:pPr>
    <w:rPr>
      <w:rFonts w:ascii="Calibri Light" w:cs="Calibri Light"/>
      <w:b/>
      <w:sz w:val="32"/>
      <w:szCs w:val="32"/>
    </w:rPr>
  </w:style>
  <w:style w:type="character" w:styleId="1158" w:customStyle="1">
    <w:name w:val="Fonte paráe1g. padrãe3o6"/>
    <w:uiPriority w:val="99"/>
    <w:unhideWhenUsed/>
    <w:pPr>
      <w:pBdr/>
      <w:spacing/>
      <w:ind/>
    </w:pPr>
  </w:style>
  <w:style w:type="character" w:styleId="1159" w:customStyle="1">
    <w:name w:val="_xbe"/>
    <w:uiPriority w:val="99"/>
    <w:unhideWhenUsed/>
    <w:pPr>
      <w:pBdr/>
      <w:spacing/>
      <w:ind/>
    </w:pPr>
  </w:style>
  <w:style w:type="character" w:styleId="1160" w:customStyle="1">
    <w:name w:val="Corpo de texto Char51"/>
    <w:basedOn w:val="882"/>
    <w:uiPriority w:val="99"/>
    <w:unhideWhenUsed/>
    <w:pPr>
      <w:pBdr/>
      <w:spacing/>
      <w:ind/>
    </w:pPr>
    <w:rPr>
      <w:rFonts w:cs="Times New Roman"/>
      <w:sz w:val="20"/>
      <w:szCs w:val="20"/>
    </w:rPr>
  </w:style>
  <w:style w:type="character" w:styleId="1161" w:customStyle="1">
    <w:name w:val="ListLabel 97"/>
    <w:uiPriority w:val="99"/>
    <w:unhideWhenUsed/>
    <w:pPr>
      <w:pBdr/>
      <w:spacing/>
      <w:ind/>
    </w:pPr>
  </w:style>
  <w:style w:type="character" w:styleId="1162" w:customStyle="1">
    <w:name w:val="Rodapé Char2"/>
    <w:basedOn w:val="882"/>
    <w:uiPriority w:val="99"/>
    <w:unhideWhenUsed/>
    <w:pPr>
      <w:pBdr/>
      <w:spacing/>
      <w:ind/>
    </w:pPr>
    <w:rPr>
      <w:rFonts w:cs="Times New Roman"/>
      <w:sz w:val="20"/>
      <w:szCs w:val="20"/>
    </w:rPr>
  </w:style>
  <w:style w:type="character" w:styleId="1163" w:customStyle="1">
    <w:name w:val="Cabeçe7alho Char11"/>
    <w:uiPriority w:val="99"/>
    <w:unhideWhenUsed/>
    <w:pPr>
      <w:pBdr/>
      <w:spacing/>
      <w:ind/>
    </w:pPr>
    <w:rPr>
      <w:sz w:val="20"/>
    </w:rPr>
  </w:style>
  <w:style w:type="character" w:styleId="1164" w:customStyle="1">
    <w:name w:val="ListLabel 80"/>
    <w:uiPriority w:val="99"/>
    <w:unhideWhenUsed/>
    <w:pPr>
      <w:pBdr/>
      <w:spacing/>
      <w:ind/>
    </w:pPr>
  </w:style>
  <w:style w:type="character" w:styleId="1165" w:customStyle="1">
    <w:name w:val="ListLabel 40"/>
    <w:uiPriority w:val="99"/>
    <w:unhideWhenUsed/>
    <w:pPr>
      <w:pBdr/>
      <w:spacing/>
      <w:ind/>
    </w:pPr>
  </w:style>
  <w:style w:type="character" w:styleId="1166" w:customStyle="1">
    <w:name w:val="Citaçe7ãe3o Intensa Char1"/>
    <w:uiPriority w:val="99"/>
    <w:unhideWhenUsed/>
    <w:pPr>
      <w:pBdr/>
      <w:spacing/>
      <w:ind/>
    </w:pPr>
    <w:rPr>
      <w:i/>
      <w:sz w:val="20"/>
    </w:rPr>
  </w:style>
  <w:style w:type="character" w:styleId="1167" w:customStyle="1">
    <w:name w:val="ListLabel 19"/>
    <w:uiPriority w:val="99"/>
    <w:unhideWhenUsed/>
    <w:pPr>
      <w:pBdr/>
      <w:spacing/>
      <w:ind/>
    </w:pPr>
  </w:style>
  <w:style w:type="character" w:styleId="1168" w:customStyle="1">
    <w:name w:val="ListLabel 6"/>
    <w:uiPriority w:val="99"/>
    <w:unhideWhenUsed/>
    <w:pPr>
      <w:pBdr/>
      <w:spacing/>
      <w:ind/>
    </w:pPr>
  </w:style>
  <w:style w:type="character" w:styleId="1169" w:customStyle="1">
    <w:name w:val="Rodapée9 Char2"/>
    <w:uiPriority w:val="99"/>
    <w:unhideWhenUsed/>
    <w:qFormat/>
    <w:pPr>
      <w:pBdr/>
      <w:spacing/>
      <w:ind/>
    </w:pPr>
    <w:rPr>
      <w:sz w:val="20"/>
    </w:rPr>
  </w:style>
  <w:style w:type="character" w:styleId="1170" w:customStyle="1">
    <w:name w:val="Título Char12"/>
    <w:basedOn w:val="882"/>
    <w:uiPriority w:val="10"/>
    <w:unhideWhenUsed/>
    <w:pPr>
      <w:pBdr/>
      <w:spacing/>
      <w:ind/>
    </w:pPr>
    <w:rPr>
      <w:rFonts w:hAnsi="Calibri Light" w:eastAsia="Times New Roman" w:cs="Times New Roman"/>
      <w:b/>
      <w:sz w:val="32"/>
      <w:szCs w:val="32"/>
    </w:rPr>
  </w:style>
  <w:style w:type="character" w:styleId="1171" w:customStyle="1">
    <w:name w:val="Corpo de texto 3 Char21"/>
    <w:uiPriority w:val="99"/>
    <w:unhideWhenUsed/>
    <w:qFormat/>
    <w:pPr>
      <w:pBdr/>
      <w:spacing/>
      <w:ind/>
    </w:pPr>
    <w:rPr>
      <w:sz w:val="16"/>
    </w:rPr>
  </w:style>
  <w:style w:type="character" w:styleId="1172" w:customStyle="1">
    <w:name w:val="ListLabel 35"/>
    <w:uiPriority w:val="99"/>
    <w:unhideWhenUsed/>
    <w:qFormat/>
    <w:pPr>
      <w:pBdr/>
      <w:spacing/>
      <w:ind/>
    </w:pPr>
  </w:style>
  <w:style w:type="character" w:styleId="1173" w:customStyle="1">
    <w:name w:val="apple-converted-space"/>
    <w:unhideWhenUsed/>
    <w:qFormat/>
    <w:pPr>
      <w:pBdr/>
      <w:spacing/>
      <w:ind/>
    </w:pPr>
  </w:style>
  <w:style w:type="character" w:styleId="1174" w:customStyle="1">
    <w:name w:val="Texto de nota de rodapée9 Char1"/>
    <w:uiPriority w:val="99"/>
    <w:unhideWhenUsed/>
    <w:qFormat/>
    <w:pPr>
      <w:pBdr/>
      <w:spacing/>
      <w:ind/>
    </w:pPr>
    <w:rPr>
      <w:sz w:val="20"/>
    </w:rPr>
  </w:style>
  <w:style w:type="character" w:styleId="1175" w:customStyle="1">
    <w:name w:val="Citação Char21"/>
    <w:basedOn w:val="882"/>
    <w:uiPriority w:val="29"/>
    <w:unhideWhenUsed/>
    <w:pPr>
      <w:pBdr/>
      <w:spacing/>
      <w:ind/>
    </w:pPr>
    <w:rPr>
      <w:rFonts w:cs="Times New Roman"/>
      <w:i/>
      <w:sz w:val="20"/>
      <w:szCs w:val="20"/>
    </w:rPr>
  </w:style>
  <w:style w:type="character" w:styleId="1176" w:customStyle="1">
    <w:name w:val="Citação Intensa Char12"/>
    <w:basedOn w:val="882"/>
    <w:uiPriority w:val="30"/>
    <w:unhideWhenUsed/>
    <w:qFormat/>
    <w:pPr>
      <w:pBdr/>
      <w:spacing/>
      <w:ind/>
    </w:pPr>
    <w:rPr>
      <w:rFonts w:cs="Times New Roman"/>
      <w:i/>
      <w:sz w:val="20"/>
      <w:szCs w:val="20"/>
    </w:rPr>
  </w:style>
  <w:style w:type="character" w:styleId="1177" w:customStyle="1">
    <w:name w:val="Hyperlink2"/>
    <w:uiPriority w:val="99"/>
    <w:unhideWhenUsed/>
    <w:qFormat/>
    <w:pPr>
      <w:pBdr/>
      <w:spacing/>
      <w:ind/>
    </w:pPr>
    <w:rPr>
      <w:color w:val="0000ff"/>
      <w:u w:val="single"/>
    </w:rPr>
  </w:style>
  <w:style w:type="character" w:styleId="1178" w:customStyle="1">
    <w:name w:val="Texto de nota de fim Char51"/>
    <w:basedOn w:val="882"/>
    <w:uiPriority w:val="99"/>
    <w:unhideWhenUsed/>
    <w:pPr>
      <w:pBdr/>
      <w:spacing/>
      <w:ind/>
    </w:pPr>
    <w:rPr>
      <w:rFonts w:cs="Times New Roman"/>
      <w:sz w:val="20"/>
      <w:szCs w:val="20"/>
    </w:rPr>
  </w:style>
  <w:style w:type="character" w:styleId="1179" w:customStyle="1">
    <w:name w:val="ListLabel 36"/>
    <w:uiPriority w:val="99"/>
    <w:unhideWhenUsed/>
    <w:qFormat/>
    <w:pPr>
      <w:pBdr/>
      <w:spacing/>
      <w:ind/>
    </w:pPr>
  </w:style>
  <w:style w:type="character" w:styleId="1180" w:customStyle="1">
    <w:name w:val="Nivel 4 Char"/>
    <w:uiPriority w:val="99"/>
    <w:unhideWhenUsed/>
    <w:qFormat/>
    <w:pPr>
      <w:pBdr/>
      <w:spacing/>
      <w:ind/>
    </w:pPr>
    <w:rPr>
      <w:rFonts w:ascii="Arial" w:hAnsi="Arial" w:eastAsia="MS Mincho"/>
    </w:rPr>
  </w:style>
  <w:style w:type="character" w:styleId="1181" w:customStyle="1">
    <w:name w:val="Recuo de corpo de texto 2 Char42"/>
    <w:basedOn w:val="882"/>
    <w:uiPriority w:val="99"/>
    <w:unhideWhenUsed/>
    <w:qFormat/>
    <w:pPr>
      <w:pBdr/>
      <w:spacing/>
      <w:ind/>
    </w:pPr>
    <w:rPr>
      <w:rFonts w:cs="Times New Roman"/>
      <w:sz w:val="20"/>
      <w:szCs w:val="20"/>
    </w:rPr>
  </w:style>
  <w:style w:type="character" w:styleId="1182" w:customStyle="1">
    <w:name w:val="Texto de nota de rodapé Char21"/>
    <w:basedOn w:val="882"/>
    <w:uiPriority w:val="99"/>
    <w:unhideWhenUsed/>
    <w:qFormat/>
    <w:pPr>
      <w:pBdr/>
      <w:spacing/>
      <w:ind/>
    </w:pPr>
    <w:rPr>
      <w:rFonts w:cs="Times New Roman"/>
      <w:sz w:val="20"/>
      <w:szCs w:val="20"/>
    </w:rPr>
  </w:style>
  <w:style w:type="character" w:styleId="1183" w:customStyle="1">
    <w:name w:val="Recuo de corpo de texto 2 Char2"/>
    <w:uiPriority w:val="99"/>
    <w:unhideWhenUsed/>
    <w:pPr>
      <w:pBdr/>
      <w:spacing/>
      <w:ind/>
    </w:pPr>
    <w:rPr>
      <w:sz w:val="20"/>
    </w:rPr>
  </w:style>
  <w:style w:type="character" w:styleId="1184" w:customStyle="1">
    <w:name w:val="ListLabel 44"/>
    <w:uiPriority w:val="99"/>
    <w:unhideWhenUsed/>
    <w:qFormat/>
    <w:pPr>
      <w:pBdr/>
      <w:spacing/>
      <w:ind/>
    </w:pPr>
  </w:style>
  <w:style w:type="character" w:styleId="1185" w:customStyle="1">
    <w:name w:val="Recuo de corpo de texto 3 Char1"/>
    <w:uiPriority w:val="99"/>
    <w:unhideWhenUsed/>
    <w:qFormat/>
    <w:pPr>
      <w:pBdr/>
      <w:spacing/>
      <w:ind/>
    </w:pPr>
    <w:rPr>
      <w:sz w:val="16"/>
    </w:rPr>
  </w:style>
  <w:style w:type="character" w:styleId="1186" w:customStyle="1">
    <w:name w:val="Título Char11"/>
    <w:basedOn w:val="882"/>
    <w:uiPriority w:val="10"/>
    <w:unhideWhenUsed/>
    <w:qFormat/>
    <w:pPr>
      <w:pBdr/>
      <w:spacing/>
      <w:ind/>
    </w:pPr>
    <w:rPr>
      <w:rFonts w:hAnsi="Calibri Light" w:eastAsia="Times New Roman" w:cs="Times New Roman"/>
      <w:b/>
      <w:sz w:val="32"/>
      <w:szCs w:val="32"/>
    </w:rPr>
  </w:style>
  <w:style w:type="character" w:styleId="1187" w:customStyle="1">
    <w:name w:val="ListLabel 25"/>
    <w:uiPriority w:val="99"/>
    <w:unhideWhenUsed/>
    <w:qFormat/>
    <w:pPr>
      <w:pBdr/>
      <w:spacing/>
      <w:ind/>
    </w:pPr>
  </w:style>
  <w:style w:type="character" w:styleId="1188" w:customStyle="1">
    <w:name w:val="Tíedtulo 8 Char"/>
    <w:uiPriority w:val="99"/>
    <w:unhideWhenUsed/>
    <w:qFormat/>
    <w:pPr>
      <w:pBdr/>
      <w:spacing/>
      <w:ind/>
    </w:pPr>
    <w:rPr>
      <w:rFonts w:ascii="Calibri Light"/>
      <w:b/>
      <w:i/>
      <w:lang w:val="zh-CN" w:eastAsia="en-US"/>
    </w:rPr>
  </w:style>
  <w:style w:type="character" w:styleId="1189" w:customStyle="1">
    <w:name w:val="spellingerror"/>
    <w:uiPriority w:val="99"/>
    <w:unhideWhenUsed/>
    <w:qFormat/>
    <w:pPr>
      <w:pBdr/>
      <w:spacing/>
      <w:ind/>
    </w:pPr>
  </w:style>
  <w:style w:type="character" w:styleId="1190" w:customStyle="1">
    <w:name w:val="Nivel 3 Char"/>
    <w:uiPriority w:val="99"/>
    <w:unhideWhenUsed/>
    <w:qFormat/>
    <w:pPr>
      <w:pBdr/>
      <w:spacing/>
      <w:ind/>
    </w:pPr>
    <w:rPr>
      <w:rFonts w:ascii="Arial" w:hAnsi="Arial" w:eastAsia="MS Mincho"/>
      <w:color w:val="000000"/>
    </w:rPr>
  </w:style>
  <w:style w:type="character" w:styleId="1191" w:customStyle="1">
    <w:name w:val="Tíedtulo 9 Char"/>
    <w:uiPriority w:val="99"/>
    <w:unhideWhenUsed/>
    <w:qFormat/>
    <w:pPr>
      <w:pBdr/>
      <w:spacing/>
      <w:ind/>
    </w:pPr>
    <w:rPr>
      <w:rFonts w:ascii="Calibri Light"/>
      <w:i/>
      <w:lang w:val="zh-CN" w:eastAsia="en-US"/>
    </w:rPr>
  </w:style>
  <w:style w:type="character" w:styleId="1192" w:customStyle="1">
    <w:name w:val="font21"/>
    <w:unhideWhenUsed/>
    <w:qFormat/>
    <w:pPr>
      <w:pBdr/>
      <w:spacing/>
      <w:ind/>
    </w:pPr>
    <w:rPr>
      <w:rFonts w:ascii="Arial"/>
      <w:color w:val="000000"/>
    </w:rPr>
  </w:style>
  <w:style w:type="character" w:styleId="1193" w:customStyle="1">
    <w:name w:val="ListLabel 64"/>
    <w:uiPriority w:val="99"/>
    <w:unhideWhenUsed/>
    <w:qFormat/>
    <w:pPr>
      <w:pBdr/>
      <w:spacing/>
      <w:ind/>
    </w:pPr>
  </w:style>
  <w:style w:type="character" w:styleId="1194" w:customStyle="1">
    <w:name w:val="ListLabel 67"/>
    <w:uiPriority w:val="99"/>
    <w:unhideWhenUsed/>
    <w:qFormat/>
    <w:pPr>
      <w:pBdr/>
      <w:spacing/>
      <w:ind/>
    </w:pPr>
  </w:style>
  <w:style w:type="character" w:styleId="1195" w:customStyle="1">
    <w:name w:val="Assunto do comentáe1rio Char11"/>
    <w:uiPriority w:val="99"/>
    <w:unhideWhenUsed/>
    <w:qFormat/>
    <w:pPr>
      <w:pBdr/>
      <w:spacing/>
      <w:ind/>
    </w:pPr>
    <w:rPr>
      <w:rFonts w:ascii="Ecofont_Spranq_eco_Sans" w:hAnsi="Ecofont_Spranq_eco_Sans" w:eastAsia="MS Mincho"/>
      <w:b/>
      <w:sz w:val="20"/>
    </w:rPr>
  </w:style>
  <w:style w:type="character" w:styleId="1196" w:customStyle="1">
    <w:name w:val="ListLabel 83"/>
    <w:uiPriority w:val="99"/>
    <w:unhideWhenUsed/>
    <w:qFormat/>
    <w:pPr>
      <w:pBdr/>
      <w:spacing/>
      <w:ind/>
    </w:pPr>
    <w:rPr>
      <w:b/>
    </w:rPr>
  </w:style>
  <w:style w:type="character" w:styleId="1197" w:customStyle="1">
    <w:name w:val="Cabeçe7alho Char"/>
    <w:uiPriority w:val="99"/>
    <w:unhideWhenUsed/>
    <w:qFormat/>
    <w:pPr>
      <w:pBdr/>
      <w:spacing/>
      <w:ind/>
    </w:pPr>
    <w:rPr>
      <w:rFonts w:eastAsia="Times New Roman"/>
      <w:lang w:val="en-US" w:eastAsia="zh-CN"/>
    </w:rPr>
  </w:style>
  <w:style w:type="character" w:styleId="1198" w:customStyle="1">
    <w:name w:val="Recuo de corpo de texto 3 Char2"/>
    <w:uiPriority w:val="99"/>
    <w:unhideWhenUsed/>
    <w:qFormat/>
    <w:pPr>
      <w:pBdr/>
      <w:spacing/>
      <w:ind/>
    </w:pPr>
    <w:rPr>
      <w:sz w:val="16"/>
    </w:rPr>
  </w:style>
  <w:style w:type="character" w:styleId="1199" w:customStyle="1">
    <w:name w:val="Níedvel 2 -Red Char"/>
    <w:uiPriority w:val="99"/>
    <w:unhideWhenUsed/>
    <w:qFormat/>
    <w:pPr>
      <w:pBdr/>
      <w:spacing/>
      <w:ind/>
    </w:pPr>
    <w:rPr>
      <w:rFonts w:ascii="Arial" w:hAnsi="Arial" w:eastAsia="MS Mincho"/>
      <w:i/>
      <w:color w:val="ff0000"/>
    </w:rPr>
  </w:style>
  <w:style w:type="character" w:styleId="1200" w:customStyle="1">
    <w:name w:val="Tíedtulo do Livro1"/>
    <w:uiPriority w:val="99"/>
    <w:unhideWhenUsed/>
    <w:qFormat/>
    <w:pPr>
      <w:pBdr/>
      <w:spacing/>
      <w:ind/>
    </w:pPr>
    <w:rPr>
      <w:b/>
      <w:smallCaps/>
      <w:spacing w:val="7"/>
      <w:sz w:val="21"/>
    </w:rPr>
  </w:style>
  <w:style w:type="character" w:styleId="1201" w:customStyle="1">
    <w:name w:val="Tíedtulo 1 Char"/>
    <w:uiPriority w:val="99"/>
    <w:unhideWhenUsed/>
    <w:pPr>
      <w:pBdr/>
      <w:spacing/>
      <w:ind/>
    </w:pPr>
    <w:rPr>
      <w:rFonts w:ascii="Arial"/>
      <w:b/>
      <w:sz w:val="32"/>
      <w:lang w:val="en-US" w:eastAsia="zh-CN"/>
    </w:rPr>
  </w:style>
  <w:style w:type="character" w:styleId="1202" w:customStyle="1">
    <w:name w:val="Tíedtulo 7 Char"/>
    <w:uiPriority w:val="99"/>
    <w:unhideWhenUsed/>
    <w:pPr>
      <w:pBdr/>
      <w:spacing/>
      <w:ind/>
    </w:pPr>
    <w:rPr>
      <w:rFonts w:ascii="Calibri Light"/>
      <w:b/>
      <w:sz w:val="21"/>
      <w:lang w:val="zh-CN" w:eastAsia="en-US"/>
    </w:rPr>
  </w:style>
  <w:style w:type="character" w:styleId="1203" w:customStyle="1">
    <w:name w:val="Recuo de corpo de texto Char2"/>
    <w:uiPriority w:val="99"/>
    <w:unhideWhenUsed/>
    <w:pPr>
      <w:pBdr/>
      <w:spacing/>
      <w:ind/>
    </w:pPr>
    <w:rPr>
      <w:sz w:val="20"/>
    </w:rPr>
  </w:style>
  <w:style w:type="character" w:styleId="1204" w:customStyle="1">
    <w:name w:val="ListLabel 9"/>
    <w:uiPriority w:val="99"/>
    <w:unhideWhenUsed/>
    <w:pPr>
      <w:pBdr/>
      <w:spacing/>
      <w:ind/>
    </w:pPr>
  </w:style>
  <w:style w:type="character" w:styleId="1205" w:customStyle="1">
    <w:name w:val="Cabeçe7alho Char2"/>
    <w:uiPriority w:val="99"/>
    <w:unhideWhenUsed/>
    <w:qFormat/>
    <w:pPr>
      <w:pBdr/>
      <w:spacing/>
      <w:ind/>
    </w:pPr>
    <w:rPr>
      <w:sz w:val="20"/>
    </w:rPr>
  </w:style>
  <w:style w:type="character" w:styleId="1206" w:customStyle="1">
    <w:name w:val="Recuo de corpo de texto Char4"/>
    <w:basedOn w:val="882"/>
    <w:uiPriority w:val="99"/>
    <w:unhideWhenUsed/>
    <w:pPr>
      <w:pBdr/>
      <w:spacing/>
      <w:ind/>
    </w:pPr>
    <w:rPr>
      <w:rFonts w:cs="Times New Roman"/>
      <w:sz w:val="20"/>
      <w:szCs w:val="20"/>
    </w:rPr>
  </w:style>
  <w:style w:type="character" w:styleId="1207" w:customStyle="1">
    <w:name w:val="font121"/>
    <w:unhideWhenUsed/>
    <w:qFormat/>
    <w:pPr>
      <w:pBdr/>
      <w:spacing/>
      <w:ind/>
    </w:pPr>
    <w:rPr>
      <w:rFonts w:ascii="Arial"/>
    </w:rPr>
  </w:style>
  <w:style w:type="character" w:styleId="1208" w:customStyle="1">
    <w:name w:val="Texto de comentário Char1"/>
    <w:basedOn w:val="882"/>
    <w:uiPriority w:val="99"/>
    <w:unhideWhenUsed/>
    <w:pPr>
      <w:pBdr/>
      <w:spacing/>
      <w:ind/>
    </w:pPr>
    <w:rPr>
      <w:rFonts w:cs="Times New Roman"/>
      <w:sz w:val="20"/>
      <w:szCs w:val="20"/>
    </w:rPr>
  </w:style>
  <w:style w:type="character" w:styleId="1209" w:customStyle="1">
    <w:name w:val="Subtítulo Char21"/>
    <w:basedOn w:val="882"/>
    <w:uiPriority w:val="11"/>
    <w:unhideWhenUsed/>
    <w:pPr>
      <w:pBdr/>
      <w:spacing/>
      <w:ind/>
    </w:pPr>
    <w:rPr>
      <w:rFonts w:hAnsi="Aptos Display" w:eastAsia="Times New Roman" w:cs="Times New Roman"/>
    </w:rPr>
  </w:style>
  <w:style w:type="character" w:styleId="1210" w:customStyle="1">
    <w:name w:val="Texto de nota de rodapé Char1"/>
    <w:basedOn w:val="882"/>
    <w:uiPriority w:val="99"/>
    <w:unhideWhenUsed/>
    <w:qFormat/>
    <w:pPr>
      <w:pBdr/>
      <w:spacing/>
      <w:ind/>
    </w:pPr>
    <w:rPr>
      <w:rFonts w:cs="Times New Roman"/>
      <w:sz w:val="20"/>
      <w:szCs w:val="20"/>
    </w:rPr>
  </w:style>
  <w:style w:type="character" w:styleId="1211" w:customStyle="1">
    <w:name w:val="Recuo de corpo de texto 3 Char41"/>
    <w:basedOn w:val="882"/>
    <w:uiPriority w:val="99"/>
    <w:unhideWhenUsed/>
    <w:qFormat/>
    <w:pPr>
      <w:pBdr/>
      <w:spacing/>
      <w:ind/>
    </w:pPr>
    <w:rPr>
      <w:rFonts w:cs="Times New Roman"/>
      <w:sz w:val="16"/>
      <w:szCs w:val="16"/>
    </w:rPr>
  </w:style>
  <w:style w:type="character" w:styleId="1212" w:customStyle="1">
    <w:name w:val="ListLabel 76"/>
    <w:uiPriority w:val="99"/>
    <w:unhideWhenUsed/>
    <w:pPr>
      <w:pBdr/>
      <w:spacing/>
      <w:ind/>
    </w:pPr>
  </w:style>
  <w:style w:type="character" w:styleId="1213" w:customStyle="1">
    <w:name w:val="lrzxr"/>
    <w:uiPriority w:val="99"/>
    <w:unhideWhenUsed/>
    <w:qFormat/>
    <w:pPr>
      <w:pBdr/>
      <w:spacing/>
      <w:ind/>
    </w:pPr>
  </w:style>
  <w:style w:type="character" w:styleId="1214" w:customStyle="1">
    <w:name w:val="Corpo de texto 2 Char1"/>
    <w:uiPriority w:val="99"/>
    <w:unhideWhenUsed/>
    <w:qFormat/>
    <w:pPr>
      <w:pBdr/>
      <w:spacing/>
      <w:ind/>
    </w:pPr>
    <w:rPr>
      <w:sz w:val="20"/>
    </w:rPr>
  </w:style>
  <w:style w:type="character" w:styleId="1215" w:customStyle="1">
    <w:name w:val="eop"/>
    <w:uiPriority w:val="99"/>
    <w:unhideWhenUsed/>
    <w:qFormat/>
    <w:pPr>
      <w:pBdr/>
      <w:spacing/>
      <w:ind/>
    </w:pPr>
  </w:style>
  <w:style w:type="character" w:styleId="1216" w:customStyle="1">
    <w:name w:val="ListLabel 17"/>
    <w:uiPriority w:val="99"/>
    <w:unhideWhenUsed/>
    <w:qFormat/>
    <w:pPr>
      <w:pBdr/>
      <w:spacing/>
      <w:ind/>
    </w:pPr>
  </w:style>
  <w:style w:type="character" w:styleId="1217" w:customStyle="1">
    <w:name w:val="ListLabel 94"/>
    <w:uiPriority w:val="99"/>
    <w:unhideWhenUsed/>
    <w:qFormat/>
    <w:pPr>
      <w:pBdr/>
      <w:spacing/>
      <w:ind/>
    </w:pPr>
  </w:style>
  <w:style w:type="character" w:styleId="1218" w:customStyle="1">
    <w:name w:val="ListLabel 43"/>
    <w:uiPriority w:val="99"/>
    <w:unhideWhenUsed/>
    <w:qFormat/>
    <w:pPr>
      <w:pBdr/>
      <w:spacing/>
      <w:ind/>
    </w:pPr>
  </w:style>
  <w:style w:type="character" w:styleId="1219" w:customStyle="1">
    <w:name w:val="Caracteres de nota de fim"/>
    <w:uiPriority w:val="99"/>
    <w:unhideWhenUsed/>
    <w:qFormat/>
    <w:pPr>
      <w:pBdr/>
      <w:spacing/>
      <w:ind/>
    </w:pPr>
    <w:rPr>
      <w:vertAlign w:val="superscript"/>
    </w:rPr>
  </w:style>
  <w:style w:type="character" w:styleId="1220" w:customStyle="1">
    <w:name w:val="Citaçe7ãe3o Intensa Char11"/>
    <w:uiPriority w:val="99"/>
    <w:unhideWhenUsed/>
    <w:pPr>
      <w:pBdr/>
      <w:spacing/>
      <w:ind/>
    </w:pPr>
    <w:rPr>
      <w:i/>
      <w:sz w:val="20"/>
    </w:rPr>
  </w:style>
  <w:style w:type="character" w:styleId="1221" w:customStyle="1">
    <w:name w:val="Citaçe7ãe3o Char"/>
    <w:uiPriority w:val="99"/>
    <w:unhideWhenUsed/>
    <w:qFormat/>
    <w:pPr>
      <w:pBdr/>
      <w:spacing/>
      <w:ind/>
    </w:pPr>
    <w:rPr>
      <w:rFonts w:eastAsia="Times New Roman"/>
      <w:i/>
    </w:rPr>
  </w:style>
  <w:style w:type="character" w:styleId="1222" w:customStyle="1">
    <w:name w:val="font01"/>
    <w:unhideWhenUsed/>
    <w:qFormat/>
    <w:pPr>
      <w:pBdr/>
      <w:spacing/>
      <w:ind/>
    </w:pPr>
    <w:rPr>
      <w:rFonts w:ascii="Arial"/>
      <w:color w:val="000000"/>
    </w:rPr>
  </w:style>
  <w:style w:type="character" w:styleId="1223" w:customStyle="1">
    <w:name w:val="Cabeçalho Char1"/>
    <w:unhideWhenUsed/>
    <w:qFormat/>
    <w:pPr>
      <w:pBdr/>
      <w:spacing/>
      <w:ind/>
    </w:pPr>
  </w:style>
  <w:style w:type="character" w:styleId="1224" w:customStyle="1">
    <w:name w:val="Corpo de texto Char41"/>
    <w:basedOn w:val="882"/>
    <w:uiPriority w:val="99"/>
    <w:unhideWhenUsed/>
    <w:qFormat/>
    <w:pPr>
      <w:pBdr/>
      <w:spacing/>
      <w:ind/>
    </w:pPr>
    <w:rPr>
      <w:rFonts w:cs="Times New Roman"/>
      <w:sz w:val="20"/>
      <w:szCs w:val="20"/>
    </w:rPr>
  </w:style>
  <w:style w:type="character" w:styleId="1225" w:customStyle="1">
    <w:name w:val="ListLabel 53"/>
    <w:uiPriority w:val="99"/>
    <w:unhideWhenUsed/>
    <w:pPr>
      <w:pBdr/>
      <w:spacing/>
      <w:ind/>
    </w:pPr>
  </w:style>
  <w:style w:type="character" w:styleId="1226" w:customStyle="1">
    <w:name w:val="Texto de nota de rodapé Char23"/>
    <w:basedOn w:val="882"/>
    <w:uiPriority w:val="99"/>
    <w:unhideWhenUsed/>
    <w:qFormat/>
    <w:pPr>
      <w:pBdr/>
      <w:spacing/>
      <w:ind/>
    </w:pPr>
    <w:rPr>
      <w:rFonts w:cs="Times New Roman"/>
      <w:sz w:val="20"/>
      <w:szCs w:val="20"/>
    </w:rPr>
  </w:style>
  <w:style w:type="character" w:styleId="1227" w:customStyle="1">
    <w:name w:val="ListLabel 81"/>
    <w:uiPriority w:val="99"/>
    <w:unhideWhenUsed/>
    <w:qFormat/>
    <w:pPr>
      <w:pBdr/>
      <w:spacing/>
      <w:ind/>
    </w:pPr>
  </w:style>
  <w:style w:type="character" w:styleId="1228" w:customStyle="1">
    <w:name w:val="Recuo de corpo de texto Char53"/>
    <w:basedOn w:val="882"/>
    <w:uiPriority w:val="99"/>
    <w:unhideWhenUsed/>
    <w:qFormat/>
    <w:pPr>
      <w:pBdr/>
      <w:spacing/>
      <w:ind/>
    </w:pPr>
    <w:rPr>
      <w:rFonts w:cs="Times New Roman"/>
      <w:sz w:val="20"/>
      <w:szCs w:val="20"/>
    </w:rPr>
  </w:style>
  <w:style w:type="character" w:styleId="1229" w:customStyle="1">
    <w:name w:val="paginarotulo"/>
    <w:unhideWhenUsed/>
    <w:qFormat/>
    <w:pPr>
      <w:pBdr/>
      <w:spacing/>
      <w:ind/>
    </w:pPr>
  </w:style>
  <w:style w:type="character" w:styleId="1230" w:customStyle="1">
    <w:name w:val="Tíedtulo 5 Char"/>
    <w:uiPriority w:val="99"/>
    <w:unhideWhenUsed/>
    <w:pPr>
      <w:pBdr/>
      <w:spacing/>
      <w:ind/>
    </w:pPr>
    <w:rPr>
      <w:rFonts w:eastAsia="Times New Roman"/>
      <w:b/>
      <w:i/>
      <w:sz w:val="26"/>
    </w:rPr>
  </w:style>
  <w:style w:type="character" w:styleId="1231" w:customStyle="1">
    <w:name w:val="ListLabel 32"/>
    <w:uiPriority w:val="99"/>
    <w:unhideWhenUsed/>
    <w:pPr>
      <w:pBdr/>
      <w:spacing/>
      <w:ind/>
    </w:pPr>
    <w:rPr>
      <w:b/>
    </w:rPr>
  </w:style>
  <w:style w:type="character" w:styleId="1232" w:customStyle="1">
    <w:name w:val="Texto de balão Char2"/>
    <w:basedOn w:val="882"/>
    <w:uiPriority w:val="99"/>
    <w:unhideWhenUsed/>
    <w:qFormat/>
    <w:pPr>
      <w:pBdr/>
      <w:spacing/>
      <w:ind/>
    </w:pPr>
    <w:rPr>
      <w:rFonts w:ascii="Segoe UI" w:cs="Segoe UI"/>
      <w:sz w:val="18"/>
      <w:szCs w:val="18"/>
    </w:rPr>
  </w:style>
  <w:style w:type="character" w:styleId="1233" w:customStyle="1">
    <w:name w:val="ListLabel 18"/>
    <w:uiPriority w:val="99"/>
    <w:unhideWhenUsed/>
    <w:pPr>
      <w:pBdr/>
      <w:spacing/>
      <w:ind/>
    </w:pPr>
  </w:style>
  <w:style w:type="character" w:styleId="1234" w:customStyle="1">
    <w:name w:val="Corpo de texto Char1"/>
    <w:uiPriority w:val="99"/>
    <w:unhideWhenUsed/>
    <w:qFormat/>
    <w:pPr>
      <w:pBdr/>
      <w:spacing/>
      <w:ind/>
    </w:pPr>
    <w:rPr>
      <w:sz w:val="20"/>
    </w:rPr>
  </w:style>
  <w:style w:type="character" w:styleId="1235" w:customStyle="1">
    <w:name w:val="Caracteres de nota de rodapée9"/>
    <w:uiPriority w:val="99"/>
    <w:unhideWhenUsed/>
    <w:qFormat/>
    <w:pPr>
      <w:pBdr/>
      <w:spacing/>
      <w:ind/>
    </w:pPr>
    <w:rPr>
      <w:vertAlign w:val="superscript"/>
    </w:rPr>
  </w:style>
  <w:style w:type="character" w:styleId="1236" w:customStyle="1">
    <w:name w:val="Texto de comentáe1rio Char1"/>
    <w:uiPriority w:val="99"/>
    <w:unhideWhenUsed/>
    <w:qFormat/>
    <w:pPr>
      <w:pBdr/>
      <w:spacing/>
      <w:ind/>
    </w:pPr>
    <w:rPr>
      <w:sz w:val="20"/>
    </w:rPr>
  </w:style>
  <w:style w:type="character" w:styleId="1237" w:customStyle="1">
    <w:name w:val="ListLabel 78"/>
    <w:uiPriority w:val="99"/>
    <w:unhideWhenUsed/>
    <w:qFormat/>
    <w:pPr>
      <w:pBdr/>
      <w:spacing/>
      <w:ind/>
    </w:pPr>
  </w:style>
  <w:style w:type="character" w:styleId="1238" w:customStyle="1">
    <w:name w:val="Corpo de texto 3 Char"/>
    <w:uiPriority w:val="99"/>
    <w:unhideWhenUsed/>
    <w:qFormat/>
    <w:pPr>
      <w:pBdr/>
      <w:spacing/>
      <w:ind/>
    </w:pPr>
    <w:rPr>
      <w:rFonts w:eastAsia="Times New Roman"/>
      <w:sz w:val="16"/>
      <w:lang w:val="en-US" w:eastAsia="zh-CN"/>
    </w:rPr>
  </w:style>
  <w:style w:type="character" w:styleId="1239" w:customStyle="1">
    <w:name w:val="Rodapé Char22"/>
    <w:basedOn w:val="882"/>
    <w:uiPriority w:val="99"/>
    <w:unhideWhenUsed/>
    <w:pPr>
      <w:pBdr/>
      <w:spacing/>
      <w:ind/>
    </w:pPr>
    <w:rPr>
      <w:rFonts w:cs="Times New Roman"/>
      <w:sz w:val="20"/>
      <w:szCs w:val="20"/>
    </w:rPr>
  </w:style>
  <w:style w:type="character" w:styleId="1240" w:customStyle="1">
    <w:name w:val="ListLabel 96"/>
    <w:uiPriority w:val="99"/>
    <w:unhideWhenUsed/>
    <w:qFormat/>
    <w:pPr>
      <w:pBdr/>
      <w:spacing/>
      <w:ind/>
    </w:pPr>
  </w:style>
  <w:style w:type="character" w:styleId="1241" w:customStyle="1">
    <w:name w:val="font71"/>
    <w:unhideWhenUsed/>
    <w:qFormat/>
    <w:pPr>
      <w:pBdr/>
      <w:spacing/>
      <w:ind/>
    </w:pPr>
    <w:rPr>
      <w:rFonts w:ascii="Carlito"/>
      <w:color w:val="000000"/>
    </w:rPr>
  </w:style>
  <w:style w:type="character" w:styleId="1242" w:customStyle="1">
    <w:name w:val="Recuo de corpo de texto 2 Char21"/>
    <w:uiPriority w:val="99"/>
    <w:unhideWhenUsed/>
    <w:qFormat/>
    <w:pPr>
      <w:pBdr/>
      <w:spacing/>
      <w:ind/>
    </w:pPr>
    <w:rPr>
      <w:sz w:val="20"/>
    </w:rPr>
  </w:style>
  <w:style w:type="character" w:styleId="1243" w:customStyle="1">
    <w:name w:val="Título Char1"/>
    <w:basedOn w:val="882"/>
    <w:uiPriority w:val="10"/>
    <w:unhideWhenUsed/>
    <w:pPr>
      <w:pBdr/>
      <w:spacing/>
      <w:ind/>
    </w:pPr>
    <w:rPr>
      <w:rFonts w:hAnsi="Calibri Light" w:eastAsia="Times New Roman" w:cs="Times New Roman"/>
      <w:b/>
      <w:sz w:val="32"/>
      <w:szCs w:val="32"/>
    </w:rPr>
  </w:style>
  <w:style w:type="character" w:styleId="1244" w:customStyle="1">
    <w:name w:val="Assunto do comentário Char11"/>
    <w:basedOn w:val="987"/>
    <w:uiPriority w:val="99"/>
    <w:unhideWhenUsed/>
    <w:qFormat/>
    <w:pPr>
      <w:pBdr/>
      <w:spacing/>
      <w:ind/>
    </w:pPr>
    <w:rPr>
      <w:rFonts w:cs="Times New Roman"/>
      <w:b/>
      <w:sz w:val="20"/>
      <w:szCs w:val="20"/>
    </w:rPr>
  </w:style>
  <w:style w:type="character" w:styleId="1245" w:customStyle="1">
    <w:name w:val="Corpo de texto Char42"/>
    <w:basedOn w:val="882"/>
    <w:uiPriority w:val="99"/>
    <w:unhideWhenUsed/>
    <w:qFormat/>
    <w:pPr>
      <w:pBdr/>
      <w:spacing/>
      <w:ind/>
    </w:pPr>
    <w:rPr>
      <w:rFonts w:cs="Times New Roman"/>
      <w:sz w:val="20"/>
      <w:szCs w:val="20"/>
    </w:rPr>
  </w:style>
  <w:style w:type="character" w:styleId="1246" w:customStyle="1">
    <w:name w:val="ListLabel 72"/>
    <w:uiPriority w:val="99"/>
    <w:unhideWhenUsed/>
    <w:pPr>
      <w:pBdr/>
      <w:spacing/>
      <w:ind/>
    </w:pPr>
  </w:style>
  <w:style w:type="character" w:styleId="1247" w:customStyle="1">
    <w:name w:val="ListLabel 10"/>
    <w:uiPriority w:val="99"/>
    <w:unhideWhenUsed/>
    <w:qFormat/>
    <w:pPr>
      <w:pBdr/>
      <w:spacing/>
      <w:ind/>
    </w:pPr>
  </w:style>
  <w:style w:type="character" w:styleId="1248" w:customStyle="1">
    <w:name w:val="Subtítulo Char12"/>
    <w:basedOn w:val="882"/>
    <w:uiPriority w:val="11"/>
    <w:unhideWhenUsed/>
    <w:qFormat/>
    <w:pPr>
      <w:pBdr/>
      <w:spacing/>
      <w:ind/>
    </w:pPr>
    <w:rPr>
      <w:rFonts w:hAnsi="Calibri Light" w:eastAsia="Times New Roman" w:cs="Times New Roman"/>
    </w:rPr>
  </w:style>
  <w:style w:type="character" w:styleId="1249" w:customStyle="1">
    <w:name w:val="ListLabel 73"/>
    <w:uiPriority w:val="99"/>
    <w:unhideWhenUsed/>
    <w:qFormat/>
    <w:pPr>
      <w:pBdr/>
      <w:spacing/>
      <w:ind/>
    </w:pPr>
  </w:style>
  <w:style w:type="character" w:styleId="1250" w:customStyle="1">
    <w:name w:val="ListLabel 52"/>
    <w:uiPriority w:val="99"/>
    <w:unhideWhenUsed/>
    <w:qFormat/>
    <w:pPr>
      <w:pBdr/>
      <w:spacing/>
      <w:ind/>
    </w:pPr>
  </w:style>
  <w:style w:type="character" w:styleId="1251" w:customStyle="1">
    <w:name w:val="Tíedtulo 2 Char"/>
    <w:uiPriority w:val="99"/>
    <w:unhideWhenUsed/>
    <w:pPr>
      <w:pBdr/>
      <w:spacing/>
      <w:ind/>
    </w:pPr>
    <w:rPr>
      <w:rFonts w:ascii="Arial"/>
      <w:b/>
      <w:color w:val="000000"/>
      <w:sz w:val="22"/>
    </w:rPr>
  </w:style>
  <w:style w:type="character" w:styleId="1252" w:customStyle="1">
    <w:name w:val="Tíedtulo 3 Char"/>
    <w:uiPriority w:val="99"/>
    <w:unhideWhenUsed/>
    <w:qFormat/>
    <w:pPr>
      <w:pBdr/>
      <w:spacing/>
      <w:ind/>
    </w:pPr>
    <w:rPr>
      <w:rFonts w:ascii="Arial"/>
      <w:b/>
      <w:sz w:val="26"/>
    </w:rPr>
  </w:style>
  <w:style w:type="character" w:styleId="1253" w:customStyle="1">
    <w:name w:val="Texto sem Formatação Char12"/>
    <w:basedOn w:val="882"/>
    <w:uiPriority w:val="99"/>
    <w:unhideWhenUsed/>
    <w:qFormat/>
    <w:pPr>
      <w:pBdr/>
      <w:spacing/>
      <w:ind/>
    </w:pPr>
    <w:rPr>
      <w:rFonts w:ascii="Courier New" w:cs="Courier New"/>
      <w:sz w:val="20"/>
      <w:szCs w:val="20"/>
    </w:rPr>
  </w:style>
  <w:style w:type="character" w:styleId="1254" w:customStyle="1">
    <w:name w:val="ListLabel 98"/>
    <w:uiPriority w:val="99"/>
    <w:unhideWhenUsed/>
    <w:pPr>
      <w:pBdr/>
      <w:spacing/>
      <w:ind/>
    </w:pPr>
  </w:style>
  <w:style w:type="character" w:styleId="1255" w:customStyle="1">
    <w:name w:val="font51"/>
    <w:unhideWhenUsed/>
    <w:qFormat/>
    <w:pPr>
      <w:pBdr/>
      <w:spacing/>
      <w:ind/>
    </w:pPr>
    <w:rPr>
      <w:rFonts w:ascii="Carlito"/>
      <w:color w:val="000000"/>
    </w:rPr>
  </w:style>
  <w:style w:type="character" w:styleId="1256" w:customStyle="1">
    <w:name w:val="Recuo de corpo de texto 3 Char"/>
    <w:uiPriority w:val="99"/>
    <w:unhideWhenUsed/>
    <w:qFormat/>
    <w:pPr>
      <w:pBdr/>
      <w:spacing/>
      <w:ind/>
    </w:pPr>
    <w:rPr>
      <w:rFonts w:ascii="Arial"/>
      <w:lang w:val="en-US" w:eastAsia="zh-CN"/>
    </w:rPr>
  </w:style>
  <w:style w:type="character" w:styleId="1257" w:customStyle="1">
    <w:name w:val="Texto de balãe3o Char1"/>
    <w:uiPriority w:val="99"/>
    <w:unhideWhenUsed/>
    <w:qFormat/>
    <w:pPr>
      <w:pBdr/>
      <w:spacing/>
      <w:ind/>
    </w:pPr>
    <w:rPr>
      <w:rFonts w:ascii="Segoe UI"/>
      <w:sz w:val="18"/>
    </w:rPr>
  </w:style>
  <w:style w:type="character" w:styleId="1258" w:customStyle="1">
    <w:name w:val="ListLabel 69"/>
    <w:uiPriority w:val="99"/>
    <w:unhideWhenUsed/>
    <w:pPr>
      <w:pBdr/>
      <w:spacing/>
      <w:ind/>
    </w:pPr>
  </w:style>
  <w:style w:type="character" w:styleId="1259" w:customStyle="1">
    <w:name w:val="Corpo de texto Char2"/>
    <w:uiPriority w:val="99"/>
    <w:unhideWhenUsed/>
    <w:qFormat/>
    <w:pPr>
      <w:pBdr/>
      <w:spacing/>
      <w:ind/>
    </w:pPr>
    <w:rPr>
      <w:sz w:val="20"/>
    </w:rPr>
  </w:style>
  <w:style w:type="character" w:styleId="1260" w:customStyle="1">
    <w:name w:val="ListLabel 29"/>
    <w:uiPriority w:val="99"/>
    <w:unhideWhenUsed/>
    <w:pPr>
      <w:pBdr/>
      <w:spacing/>
      <w:ind/>
    </w:pPr>
    <w:rPr>
      <w:b/>
    </w:rPr>
  </w:style>
  <w:style w:type="character" w:styleId="1261" w:customStyle="1">
    <w:name w:val="textrun"/>
    <w:uiPriority w:val="99"/>
    <w:unhideWhenUsed/>
    <w:qFormat/>
    <w:pPr>
      <w:pBdr/>
      <w:spacing/>
      <w:ind/>
    </w:pPr>
  </w:style>
  <w:style w:type="character" w:styleId="1262" w:customStyle="1">
    <w:name w:val="Fonte paráe1g. padrãe3o1"/>
    <w:uiPriority w:val="99"/>
    <w:unhideWhenUsed/>
    <w:qFormat/>
    <w:pPr>
      <w:pBdr/>
      <w:spacing/>
      <w:ind/>
    </w:pPr>
  </w:style>
  <w:style w:type="character" w:styleId="1263" w:customStyle="1">
    <w:name w:val="ListLabel 86"/>
    <w:uiPriority w:val="99"/>
    <w:unhideWhenUsed/>
    <w:qFormat/>
    <w:pPr>
      <w:pBdr/>
      <w:spacing/>
      <w:ind/>
    </w:pPr>
    <w:rPr>
      <w:b/>
    </w:rPr>
  </w:style>
  <w:style w:type="character" w:styleId="1264" w:customStyle="1">
    <w:name w:val="Texto sem Formatação Char22"/>
    <w:basedOn w:val="882"/>
    <w:uiPriority w:val="99"/>
    <w:unhideWhenUsed/>
    <w:pPr>
      <w:pBdr/>
      <w:spacing/>
      <w:ind/>
    </w:pPr>
    <w:rPr>
      <w:rFonts w:ascii="Courier New" w:cs="Courier New"/>
      <w:sz w:val="20"/>
      <w:szCs w:val="20"/>
    </w:rPr>
  </w:style>
  <w:style w:type="character" w:styleId="1265" w:customStyle="1">
    <w:name w:val="ListLabel 41"/>
    <w:uiPriority w:val="99"/>
    <w:unhideWhenUsed/>
    <w:qFormat/>
    <w:pPr>
      <w:pBdr/>
      <w:spacing/>
      <w:ind/>
    </w:pPr>
  </w:style>
  <w:style w:type="character" w:styleId="1266" w:customStyle="1">
    <w:name w:val="Corpo de texto 3 Char2"/>
    <w:uiPriority w:val="99"/>
    <w:unhideWhenUsed/>
    <w:pPr>
      <w:pBdr/>
      <w:spacing/>
      <w:ind/>
    </w:pPr>
    <w:rPr>
      <w:sz w:val="16"/>
    </w:rPr>
  </w:style>
  <w:style w:type="character" w:styleId="1267" w:customStyle="1">
    <w:name w:val="font91"/>
    <w:unhideWhenUsed/>
    <w:qFormat/>
    <w:pPr>
      <w:pBdr/>
      <w:spacing/>
      <w:ind/>
    </w:pPr>
    <w:rPr>
      <w:rFonts w:ascii="Arial"/>
      <w:color w:val="000000"/>
    </w:rPr>
  </w:style>
  <w:style w:type="character" w:styleId="1268" w:customStyle="1">
    <w:name w:val="Subtítulo Char1"/>
    <w:basedOn w:val="882"/>
    <w:uiPriority w:val="11"/>
    <w:unhideWhenUsed/>
    <w:pPr>
      <w:pBdr/>
      <w:spacing/>
      <w:ind/>
    </w:pPr>
    <w:rPr>
      <w:rFonts w:hAnsi="Calibri Light" w:eastAsia="Times New Roman" w:cs="Times New Roman"/>
    </w:rPr>
  </w:style>
  <w:style w:type="character" w:styleId="1269" w:customStyle="1">
    <w:name w:val="Citação Char11"/>
    <w:basedOn w:val="882"/>
    <w:uiPriority w:val="29"/>
    <w:unhideWhenUsed/>
    <w:qFormat/>
    <w:pPr>
      <w:pBdr/>
      <w:spacing/>
      <w:ind/>
    </w:pPr>
    <w:rPr>
      <w:rFonts w:cs="Times New Roman"/>
      <w:i/>
      <w:sz w:val="20"/>
      <w:szCs w:val="20"/>
    </w:rPr>
  </w:style>
  <w:style w:type="character" w:styleId="1270" w:customStyle="1">
    <w:name w:val="Texto de comentário Char22"/>
    <w:basedOn w:val="882"/>
    <w:uiPriority w:val="99"/>
    <w:unhideWhenUsed/>
    <w:pPr>
      <w:pBdr/>
      <w:spacing/>
      <w:ind/>
    </w:pPr>
    <w:rPr>
      <w:rFonts w:cs="Times New Roman"/>
      <w:sz w:val="20"/>
      <w:szCs w:val="20"/>
    </w:rPr>
  </w:style>
  <w:style w:type="character" w:styleId="1271" w:customStyle="1">
    <w:name w:val="ListLabel 63"/>
    <w:uiPriority w:val="99"/>
    <w:unhideWhenUsed/>
    <w:qFormat/>
    <w:pPr>
      <w:pBdr/>
      <w:spacing/>
      <w:ind/>
    </w:pPr>
  </w:style>
  <w:style w:type="character" w:styleId="1272" w:customStyle="1">
    <w:name w:val="Texto de nota de rodapée9 Char"/>
    <w:uiPriority w:val="99"/>
    <w:unhideWhenUsed/>
    <w:qFormat/>
    <w:pPr>
      <w:pBdr/>
      <w:spacing/>
      <w:ind/>
    </w:pPr>
  </w:style>
  <w:style w:type="character" w:styleId="1273" w:customStyle="1">
    <w:name w:val="Corpo de texto Char3"/>
    <w:basedOn w:val="882"/>
    <w:link w:val="896"/>
    <w:uiPriority w:val="99"/>
    <w:unhideWhenUsed/>
    <w:qFormat/>
    <w:pPr>
      <w:pBdr/>
      <w:spacing/>
      <w:ind/>
    </w:pPr>
    <w:rPr>
      <w:rFonts w:cs="Times New Roman"/>
      <w:sz w:val="20"/>
      <w:szCs w:val="20"/>
    </w:rPr>
  </w:style>
  <w:style w:type="character" w:styleId="1274" w:customStyle="1">
    <w:name w:val="Texto de nota de fim Char1"/>
    <w:uiPriority w:val="99"/>
    <w:unhideWhenUsed/>
    <w:pPr>
      <w:pBdr/>
      <w:spacing/>
      <w:ind/>
    </w:pPr>
    <w:rPr>
      <w:sz w:val="20"/>
    </w:rPr>
  </w:style>
  <w:style w:type="character" w:styleId="1275" w:customStyle="1">
    <w:name w:val="ListLabel 100"/>
    <w:uiPriority w:val="99"/>
    <w:unhideWhenUsed/>
    <w:pPr>
      <w:pBdr/>
      <w:spacing/>
      <w:ind/>
    </w:pPr>
  </w:style>
  <w:style w:type="character" w:styleId="1276" w:customStyle="1">
    <w:name w:val="ListLabel 15"/>
    <w:uiPriority w:val="99"/>
    <w:unhideWhenUsed/>
    <w:pPr>
      <w:pBdr/>
      <w:spacing/>
      <w:ind/>
    </w:pPr>
  </w:style>
  <w:style w:type="character" w:styleId="1277" w:customStyle="1">
    <w:name w:val="Corpo de texto 2 Char51"/>
    <w:basedOn w:val="882"/>
    <w:uiPriority w:val="99"/>
    <w:unhideWhenUsed/>
    <w:qFormat/>
    <w:pPr>
      <w:pBdr/>
      <w:spacing/>
      <w:ind/>
    </w:pPr>
    <w:rPr>
      <w:rFonts w:cs="Times New Roman"/>
      <w:sz w:val="20"/>
      <w:szCs w:val="20"/>
    </w:rPr>
  </w:style>
  <w:style w:type="character" w:styleId="1278" w:customStyle="1">
    <w:name w:val="ListLabel 75"/>
    <w:uiPriority w:val="99"/>
    <w:unhideWhenUsed/>
    <w:pPr>
      <w:pBdr/>
      <w:spacing/>
      <w:ind/>
    </w:pPr>
  </w:style>
  <w:style w:type="character" w:styleId="1279" w:customStyle="1">
    <w:name w:val="Cabeçalho Char21"/>
    <w:basedOn w:val="882"/>
    <w:uiPriority w:val="99"/>
    <w:unhideWhenUsed/>
    <w:pPr>
      <w:pBdr/>
      <w:spacing/>
      <w:ind/>
    </w:pPr>
    <w:rPr>
      <w:rFonts w:cs="Times New Roman"/>
      <w:sz w:val="20"/>
      <w:szCs w:val="20"/>
    </w:rPr>
  </w:style>
  <w:style w:type="character" w:styleId="1280" w:customStyle="1">
    <w:name w:val="ListLabel 7"/>
    <w:uiPriority w:val="99"/>
    <w:unhideWhenUsed/>
    <w:pPr>
      <w:pBdr/>
      <w:spacing/>
      <w:ind/>
    </w:pPr>
  </w:style>
  <w:style w:type="character" w:styleId="1281" w:customStyle="1">
    <w:name w:val="ListLabel 11"/>
    <w:uiPriority w:val="99"/>
    <w:unhideWhenUsed/>
    <w:qFormat/>
    <w:pPr>
      <w:pBdr/>
      <w:spacing/>
      <w:ind/>
    </w:pPr>
  </w:style>
  <w:style w:type="character" w:styleId="1282" w:customStyle="1">
    <w:name w:val="ListLabel 26"/>
    <w:uiPriority w:val="99"/>
    <w:unhideWhenUsed/>
    <w:pPr>
      <w:pBdr/>
      <w:spacing/>
      <w:ind/>
    </w:pPr>
  </w:style>
  <w:style w:type="character" w:styleId="1283" w:customStyle="1">
    <w:name w:val="ListLabel 28"/>
    <w:uiPriority w:val="99"/>
    <w:unhideWhenUsed/>
    <w:qFormat/>
    <w:pPr>
      <w:pBdr/>
      <w:spacing/>
      <w:ind/>
    </w:pPr>
    <w:rPr>
      <w:b/>
    </w:rPr>
  </w:style>
  <w:style w:type="character" w:styleId="1284" w:customStyle="1">
    <w:name w:val="ListLabel 70"/>
    <w:uiPriority w:val="99"/>
    <w:unhideWhenUsed/>
    <w:pPr>
      <w:pBdr/>
      <w:spacing/>
      <w:ind/>
    </w:pPr>
  </w:style>
  <w:style w:type="character" w:styleId="1285" w:customStyle="1">
    <w:name w:val="Texto sem Formatação Char"/>
    <w:basedOn w:val="882"/>
    <w:link w:val="906"/>
    <w:uiPriority w:val="99"/>
    <w:unhideWhenUsed/>
    <w:qFormat/>
    <w:pPr>
      <w:pBdr/>
      <w:spacing/>
      <w:ind/>
    </w:pPr>
    <w:rPr>
      <w:rFonts w:ascii="Courier New" w:cs="Courier New"/>
      <w:sz w:val="20"/>
      <w:szCs w:val="20"/>
    </w:rPr>
  </w:style>
  <w:style w:type="character" w:styleId="1286" w:customStyle="1">
    <w:name w:val="Citação Char12"/>
    <w:basedOn w:val="882"/>
    <w:uiPriority w:val="29"/>
    <w:unhideWhenUsed/>
    <w:pPr>
      <w:pBdr/>
      <w:spacing/>
      <w:ind/>
    </w:pPr>
    <w:rPr>
      <w:rFonts w:cs="Times New Roman"/>
      <w:i/>
      <w:sz w:val="20"/>
      <w:szCs w:val="20"/>
    </w:rPr>
  </w:style>
  <w:style w:type="character" w:styleId="1287" w:customStyle="1">
    <w:name w:val="Texto de nota de fim Char4"/>
    <w:basedOn w:val="882"/>
    <w:uiPriority w:val="99"/>
    <w:unhideWhenUsed/>
    <w:pPr>
      <w:pBdr/>
      <w:spacing/>
      <w:ind/>
    </w:pPr>
    <w:rPr>
      <w:rFonts w:cs="Times New Roman"/>
      <w:sz w:val="20"/>
      <w:szCs w:val="20"/>
    </w:rPr>
  </w:style>
  <w:style w:type="character" w:styleId="1288" w:customStyle="1">
    <w:name w:val="Texto de balão Char1"/>
    <w:basedOn w:val="882"/>
    <w:uiPriority w:val="99"/>
    <w:unhideWhenUsed/>
    <w:pPr>
      <w:pBdr/>
      <w:spacing/>
      <w:ind/>
    </w:pPr>
    <w:rPr>
      <w:rFonts w:ascii="Segoe UI" w:cs="Segoe UI"/>
      <w:sz w:val="18"/>
      <w:szCs w:val="18"/>
    </w:rPr>
  </w:style>
  <w:style w:type="character" w:styleId="1289" w:customStyle="1">
    <w:name w:val="Citação Char22"/>
    <w:basedOn w:val="882"/>
    <w:uiPriority w:val="29"/>
    <w:unhideWhenUsed/>
    <w:qFormat/>
    <w:pPr>
      <w:pBdr/>
      <w:spacing/>
      <w:ind/>
    </w:pPr>
    <w:rPr>
      <w:rFonts w:cs="Times New Roman"/>
      <w:i/>
      <w:sz w:val="20"/>
      <w:szCs w:val="20"/>
    </w:rPr>
  </w:style>
  <w:style w:type="character" w:styleId="1290" w:customStyle="1">
    <w:name w:val="Corpo de texto Char53"/>
    <w:basedOn w:val="882"/>
    <w:uiPriority w:val="99"/>
    <w:unhideWhenUsed/>
    <w:pPr>
      <w:pBdr/>
      <w:spacing/>
      <w:ind/>
    </w:pPr>
    <w:rPr>
      <w:rFonts w:cs="Times New Roman"/>
      <w:sz w:val="20"/>
      <w:szCs w:val="20"/>
    </w:rPr>
  </w:style>
  <w:style w:type="character" w:styleId="1291" w:customStyle="1">
    <w:name w:val="Texto de comentário Char2"/>
    <w:basedOn w:val="882"/>
    <w:uiPriority w:val="99"/>
    <w:unhideWhenUsed/>
    <w:pPr>
      <w:pBdr/>
      <w:spacing/>
      <w:ind/>
    </w:pPr>
    <w:rPr>
      <w:rFonts w:cs="Times New Roman"/>
      <w:sz w:val="20"/>
      <w:szCs w:val="20"/>
    </w:rPr>
  </w:style>
  <w:style w:type="character" w:styleId="1292" w:customStyle="1">
    <w:name w:val="Recuo de corpo de texto 2 Char52"/>
    <w:basedOn w:val="882"/>
    <w:uiPriority w:val="99"/>
    <w:unhideWhenUsed/>
    <w:pPr>
      <w:pBdr/>
      <w:spacing/>
      <w:ind/>
    </w:pPr>
    <w:rPr>
      <w:rFonts w:cs="Times New Roman"/>
      <w:sz w:val="20"/>
      <w:szCs w:val="20"/>
    </w:rPr>
  </w:style>
  <w:style w:type="character" w:styleId="1293" w:customStyle="1">
    <w:name w:val="Recuo de corpo de texto 2 Char51"/>
    <w:basedOn w:val="882"/>
    <w:uiPriority w:val="99"/>
    <w:unhideWhenUsed/>
    <w:pPr>
      <w:pBdr/>
      <w:spacing/>
      <w:ind/>
    </w:pPr>
    <w:rPr>
      <w:rFonts w:cs="Times New Roman"/>
      <w:sz w:val="20"/>
      <w:szCs w:val="20"/>
    </w:rPr>
  </w:style>
  <w:style w:type="character" w:styleId="1294" w:customStyle="1">
    <w:name w:val="Título Char21"/>
    <w:basedOn w:val="882"/>
    <w:uiPriority w:val="10"/>
    <w:unhideWhenUsed/>
    <w:qFormat/>
    <w:pPr>
      <w:pBdr/>
      <w:spacing/>
      <w:ind/>
    </w:pPr>
    <w:rPr>
      <w:rFonts w:hAnsi="Aptos Display" w:eastAsia="Times New Roman" w:cs="Times New Roman"/>
      <w:b/>
      <w:sz w:val="32"/>
      <w:szCs w:val="32"/>
    </w:rPr>
  </w:style>
  <w:style w:type="character" w:styleId="1295" w:customStyle="1">
    <w:name w:val="Texto sem Formatação Char2"/>
    <w:basedOn w:val="882"/>
    <w:uiPriority w:val="99"/>
    <w:unhideWhenUsed/>
    <w:qFormat/>
    <w:pPr>
      <w:pBdr/>
      <w:spacing/>
      <w:ind/>
    </w:pPr>
    <w:rPr>
      <w:rFonts w:ascii="Courier New" w:cs="Courier New"/>
      <w:sz w:val="20"/>
      <w:szCs w:val="20"/>
    </w:rPr>
  </w:style>
  <w:style w:type="character" w:styleId="1296" w:customStyle="1">
    <w:name w:val="Texto sem Formatação Char23"/>
    <w:basedOn w:val="882"/>
    <w:uiPriority w:val="99"/>
    <w:unhideWhenUsed/>
    <w:pPr>
      <w:pBdr/>
      <w:spacing/>
      <w:ind/>
    </w:pPr>
    <w:rPr>
      <w:rFonts w:ascii="Courier New" w:cs="Courier New"/>
      <w:sz w:val="20"/>
      <w:szCs w:val="20"/>
    </w:rPr>
  </w:style>
  <w:style w:type="character" w:styleId="1297" w:customStyle="1">
    <w:name w:val="Texto sem Formatação Char21"/>
    <w:basedOn w:val="882"/>
    <w:uiPriority w:val="99"/>
    <w:unhideWhenUsed/>
    <w:pPr>
      <w:pBdr/>
      <w:spacing/>
      <w:ind/>
    </w:pPr>
    <w:rPr>
      <w:rFonts w:ascii="Courier New" w:cs="Courier New"/>
      <w:sz w:val="20"/>
      <w:szCs w:val="20"/>
    </w:rPr>
  </w:style>
  <w:style w:type="character" w:styleId="1298" w:customStyle="1">
    <w:name w:val="Corpo de texto 3 Char5"/>
    <w:basedOn w:val="882"/>
    <w:uiPriority w:val="99"/>
    <w:unhideWhenUsed/>
    <w:pPr>
      <w:pBdr/>
      <w:spacing/>
      <w:ind/>
    </w:pPr>
    <w:rPr>
      <w:rFonts w:cs="Times New Roman"/>
      <w:sz w:val="16"/>
      <w:szCs w:val="16"/>
    </w:rPr>
  </w:style>
  <w:style w:type="character" w:styleId="1299" w:customStyle="1">
    <w:name w:val="Corpo de texto 3 Char53"/>
    <w:basedOn w:val="882"/>
    <w:uiPriority w:val="99"/>
    <w:unhideWhenUsed/>
    <w:pPr>
      <w:pBdr/>
      <w:spacing/>
      <w:ind/>
    </w:pPr>
    <w:rPr>
      <w:rFonts w:cs="Times New Roman"/>
      <w:sz w:val="16"/>
      <w:szCs w:val="16"/>
    </w:rPr>
  </w:style>
  <w:style w:type="character" w:styleId="1300" w:customStyle="1">
    <w:name w:val="Corpo de texto 2 Char53"/>
    <w:basedOn w:val="882"/>
    <w:uiPriority w:val="99"/>
    <w:unhideWhenUsed/>
    <w:pPr>
      <w:pBdr/>
      <w:spacing/>
      <w:ind/>
    </w:pPr>
    <w:rPr>
      <w:rFonts w:cs="Times New Roman"/>
      <w:sz w:val="20"/>
      <w:szCs w:val="20"/>
    </w:rPr>
  </w:style>
  <w:style w:type="character" w:styleId="1301" w:customStyle="1">
    <w:name w:val="Cabeçalho Char33"/>
    <w:basedOn w:val="882"/>
    <w:uiPriority w:val="99"/>
    <w:unhideWhenUsed/>
    <w:pPr>
      <w:pBdr/>
      <w:spacing/>
      <w:ind/>
    </w:pPr>
    <w:rPr>
      <w:rFonts w:cs="Times New Roman"/>
      <w:sz w:val="20"/>
      <w:szCs w:val="20"/>
    </w:rPr>
  </w:style>
  <w:style w:type="character" w:styleId="1302" w:customStyle="1">
    <w:name w:val="Cabeçalho Char31"/>
    <w:basedOn w:val="882"/>
    <w:uiPriority w:val="99"/>
    <w:unhideWhenUsed/>
    <w:pPr>
      <w:pBdr/>
      <w:spacing/>
      <w:ind/>
    </w:pPr>
    <w:rPr>
      <w:rFonts w:cs="Times New Roman"/>
      <w:sz w:val="20"/>
      <w:szCs w:val="20"/>
    </w:rPr>
  </w:style>
  <w:style w:type="character" w:styleId="1303" w:customStyle="1">
    <w:name w:val="Texto de balão Char23"/>
    <w:basedOn w:val="882"/>
    <w:uiPriority w:val="99"/>
    <w:unhideWhenUsed/>
    <w:pPr>
      <w:pBdr/>
      <w:spacing/>
      <w:ind/>
    </w:pPr>
    <w:rPr>
      <w:rFonts w:ascii="Segoe UI" w:cs="Segoe UI"/>
      <w:sz w:val="18"/>
      <w:szCs w:val="18"/>
    </w:rPr>
  </w:style>
  <w:style w:type="character" w:styleId="1304" w:customStyle="1">
    <w:name w:val="Citação Intensa Char22"/>
    <w:basedOn w:val="882"/>
    <w:uiPriority w:val="30"/>
    <w:unhideWhenUsed/>
    <w:pPr>
      <w:pBdr/>
      <w:spacing/>
      <w:ind/>
    </w:pPr>
    <w:rPr>
      <w:rFonts w:cs="Times New Roman"/>
      <w:i/>
      <w:sz w:val="20"/>
      <w:szCs w:val="20"/>
    </w:rPr>
  </w:style>
  <w:style w:type="character" w:styleId="1305" w:customStyle="1">
    <w:name w:val="Citação Intensa Char21"/>
    <w:basedOn w:val="882"/>
    <w:uiPriority w:val="30"/>
    <w:unhideWhenUsed/>
    <w:pPr>
      <w:pBdr/>
      <w:spacing/>
      <w:ind/>
    </w:pPr>
    <w:rPr>
      <w:rFonts w:cs="Times New Roman"/>
      <w:i/>
      <w:sz w:val="20"/>
      <w:szCs w:val="20"/>
    </w:rPr>
  </w:style>
  <w:style w:type="character" w:styleId="1306" w:customStyle="1">
    <w:name w:val="Texto de nota de fim Char6"/>
    <w:basedOn w:val="882"/>
    <w:uiPriority w:val="99"/>
    <w:semiHidden/>
    <w:pPr>
      <w:pBdr/>
      <w:spacing/>
      <w:ind/>
    </w:pPr>
    <w:rPr>
      <w:sz w:val="20"/>
      <w:szCs w:val="20"/>
    </w:rPr>
  </w:style>
  <w:style w:type="character" w:styleId="1307" w:customStyle="1">
    <w:name w:val="Texto de nota de fim Char64"/>
    <w:basedOn w:val="882"/>
    <w:uiPriority w:val="99"/>
    <w:semiHidden/>
    <w:pPr>
      <w:pBdr/>
      <w:spacing/>
      <w:ind/>
    </w:pPr>
    <w:rPr>
      <w:rFonts w:cs="Times New Roman"/>
      <w:sz w:val="20"/>
      <w:szCs w:val="20"/>
    </w:rPr>
  </w:style>
  <w:style w:type="character" w:styleId="1308" w:customStyle="1">
    <w:name w:val="Texto de nota de fim Char63"/>
    <w:basedOn w:val="882"/>
    <w:uiPriority w:val="99"/>
    <w:semiHidden/>
    <w:pPr>
      <w:pBdr/>
      <w:spacing/>
      <w:ind/>
    </w:pPr>
    <w:rPr>
      <w:rFonts w:cs="Times New Roman"/>
      <w:sz w:val="20"/>
      <w:szCs w:val="20"/>
    </w:rPr>
  </w:style>
  <w:style w:type="character" w:styleId="1309" w:customStyle="1">
    <w:name w:val="Texto de nota de fim Char62"/>
    <w:basedOn w:val="882"/>
    <w:uiPriority w:val="99"/>
    <w:semiHidden/>
    <w:pPr>
      <w:pBdr/>
      <w:spacing/>
      <w:ind/>
    </w:pPr>
    <w:rPr>
      <w:rFonts w:cs="Times New Roman"/>
      <w:sz w:val="20"/>
      <w:szCs w:val="20"/>
    </w:rPr>
  </w:style>
  <w:style w:type="character" w:styleId="1310" w:customStyle="1">
    <w:name w:val="Texto de nota de fim Char61"/>
    <w:basedOn w:val="882"/>
    <w:uiPriority w:val="99"/>
    <w:semiHidden/>
    <w:pPr>
      <w:pBdr/>
      <w:spacing/>
      <w:ind/>
    </w:pPr>
    <w:rPr>
      <w:rFonts w:cs="Times New Roman"/>
      <w:sz w:val="20"/>
      <w:szCs w:val="20"/>
    </w:rPr>
  </w:style>
  <w:style w:type="character" w:styleId="1311" w:customStyle="1">
    <w:name w:val="Recuo de corpo de texto 3 Char6"/>
    <w:basedOn w:val="882"/>
    <w:uiPriority w:val="99"/>
    <w:semiHidden/>
    <w:pPr>
      <w:pBdr/>
      <w:spacing/>
      <w:ind/>
    </w:pPr>
    <w:rPr>
      <w:sz w:val="16"/>
      <w:szCs w:val="16"/>
    </w:rPr>
  </w:style>
  <w:style w:type="character" w:styleId="1312" w:customStyle="1">
    <w:name w:val="Recuo de corpo de texto 3 Char64"/>
    <w:basedOn w:val="882"/>
    <w:uiPriority w:val="99"/>
    <w:semiHidden/>
    <w:pPr>
      <w:pBdr/>
      <w:spacing/>
      <w:ind/>
    </w:pPr>
    <w:rPr>
      <w:rFonts w:cs="Times New Roman"/>
      <w:sz w:val="16"/>
      <w:szCs w:val="16"/>
    </w:rPr>
  </w:style>
  <w:style w:type="character" w:styleId="1313" w:customStyle="1">
    <w:name w:val="Recuo de corpo de texto 3 Char63"/>
    <w:basedOn w:val="882"/>
    <w:uiPriority w:val="99"/>
    <w:semiHidden/>
    <w:pPr>
      <w:pBdr/>
      <w:spacing/>
      <w:ind/>
    </w:pPr>
    <w:rPr>
      <w:rFonts w:cs="Times New Roman"/>
      <w:sz w:val="16"/>
      <w:szCs w:val="16"/>
    </w:rPr>
  </w:style>
  <w:style w:type="character" w:styleId="1314" w:customStyle="1">
    <w:name w:val="Recuo de corpo de texto 3 Char62"/>
    <w:basedOn w:val="882"/>
    <w:uiPriority w:val="99"/>
    <w:semiHidden/>
    <w:pPr>
      <w:pBdr/>
      <w:spacing/>
      <w:ind/>
    </w:pPr>
    <w:rPr>
      <w:rFonts w:cs="Times New Roman"/>
      <w:sz w:val="16"/>
      <w:szCs w:val="16"/>
    </w:rPr>
  </w:style>
  <w:style w:type="character" w:styleId="1315" w:customStyle="1">
    <w:name w:val="Recuo de corpo de texto 3 Char61"/>
    <w:basedOn w:val="882"/>
    <w:uiPriority w:val="99"/>
    <w:semiHidden/>
    <w:pPr>
      <w:pBdr/>
      <w:spacing/>
      <w:ind/>
    </w:pPr>
    <w:rPr>
      <w:rFonts w:cs="Times New Roman"/>
      <w:sz w:val="16"/>
      <w:szCs w:val="16"/>
    </w:rPr>
  </w:style>
  <w:style w:type="paragraph" w:styleId="1316">
    <w:name w:val="No Spacing"/>
    <w:uiPriority w:val="1"/>
    <w:qFormat/>
    <w:pPr>
      <w:pBdr/>
      <w:spacing/>
      <w:ind/>
    </w:pPr>
    <w:rPr>
      <w:rFonts w:ascii="Calibri" w:hAnsi="Calibri"/>
      <w:sz w:val="22"/>
      <w:szCs w:val="22"/>
      <w:lang w:eastAsia="en-US"/>
    </w:rPr>
  </w:style>
  <w:style w:type="character" w:styleId="1317" w:customStyle="1">
    <w:name w:val="Corpo de texto Char6"/>
    <w:basedOn w:val="882"/>
    <w:uiPriority w:val="99"/>
    <w:semiHidden/>
    <w:qFormat/>
    <w:pPr>
      <w:pBdr/>
      <w:spacing/>
      <w:ind/>
    </w:pPr>
    <w:rPr>
      <w:sz w:val="20"/>
      <w:szCs w:val="20"/>
    </w:rPr>
  </w:style>
  <w:style w:type="character" w:styleId="1318" w:customStyle="1">
    <w:name w:val="Corpo de texto Char64"/>
    <w:basedOn w:val="882"/>
    <w:uiPriority w:val="99"/>
    <w:semiHidden/>
    <w:pPr>
      <w:pBdr/>
      <w:spacing/>
      <w:ind/>
    </w:pPr>
    <w:rPr>
      <w:rFonts w:cs="Times New Roman"/>
      <w:sz w:val="20"/>
      <w:szCs w:val="20"/>
    </w:rPr>
  </w:style>
  <w:style w:type="character" w:styleId="1319" w:customStyle="1">
    <w:name w:val="Corpo de texto Char63"/>
    <w:basedOn w:val="882"/>
    <w:uiPriority w:val="99"/>
    <w:semiHidden/>
    <w:pPr>
      <w:pBdr/>
      <w:spacing/>
      <w:ind/>
    </w:pPr>
    <w:rPr>
      <w:rFonts w:cs="Times New Roman"/>
      <w:sz w:val="20"/>
      <w:szCs w:val="20"/>
    </w:rPr>
  </w:style>
  <w:style w:type="character" w:styleId="1320" w:customStyle="1">
    <w:name w:val="Corpo de texto Char62"/>
    <w:basedOn w:val="882"/>
    <w:uiPriority w:val="99"/>
    <w:semiHidden/>
    <w:pPr>
      <w:pBdr/>
      <w:spacing/>
      <w:ind/>
    </w:pPr>
    <w:rPr>
      <w:rFonts w:cs="Times New Roman"/>
      <w:sz w:val="20"/>
      <w:szCs w:val="20"/>
    </w:rPr>
  </w:style>
  <w:style w:type="character" w:styleId="1321" w:customStyle="1">
    <w:name w:val="Corpo de texto Char61"/>
    <w:basedOn w:val="882"/>
    <w:uiPriority w:val="99"/>
    <w:semiHidden/>
    <w:pPr>
      <w:pBdr/>
      <w:spacing/>
      <w:ind/>
    </w:pPr>
    <w:rPr>
      <w:rFonts w:cs="Times New Roman"/>
      <w:sz w:val="20"/>
      <w:szCs w:val="20"/>
    </w:rPr>
  </w:style>
  <w:style w:type="paragraph" w:styleId="1322" w:customStyle="1">
    <w:name w:val="Nivel 5"/>
    <w:uiPriority w:val="99"/>
    <w:unhideWhenUsed/>
    <w:pPr>
      <w:widowControl w:val="false"/>
      <w:pBdr/>
      <w:spacing w:after="120" w:before="120" w:line="276" w:lineRule="auto"/>
      <w:ind w:left="851"/>
      <w:jc w:val="both"/>
    </w:pPr>
    <w:rPr>
      <w:rFonts w:ascii="Arial" w:hAnsi="Arial" w:eastAsia="MS Mincho" w:cs="Arial"/>
      <w:color w:val="000000"/>
      <w:sz w:val="24"/>
      <w:szCs w:val="24"/>
      <w:lang w:eastAsia="zh-CN" w:bidi="hi-IN"/>
    </w:rPr>
  </w:style>
  <w:style w:type="character" w:styleId="1323" w:customStyle="1">
    <w:name w:val="Texto de comentário Char3"/>
    <w:basedOn w:val="882"/>
    <w:uiPriority w:val="99"/>
    <w:semiHidden/>
    <w:pPr>
      <w:pBdr/>
      <w:spacing/>
      <w:ind/>
    </w:pPr>
    <w:rPr>
      <w:sz w:val="20"/>
      <w:szCs w:val="20"/>
    </w:rPr>
  </w:style>
  <w:style w:type="character" w:styleId="1324" w:customStyle="1">
    <w:name w:val="Texto de comentário Char34"/>
    <w:basedOn w:val="882"/>
    <w:uiPriority w:val="99"/>
    <w:semiHidden/>
    <w:pPr>
      <w:pBdr/>
      <w:spacing/>
      <w:ind/>
    </w:pPr>
    <w:rPr>
      <w:rFonts w:cs="Times New Roman"/>
      <w:sz w:val="20"/>
      <w:szCs w:val="20"/>
    </w:rPr>
  </w:style>
  <w:style w:type="character" w:styleId="1325" w:customStyle="1">
    <w:name w:val="Texto de comentário Char33"/>
    <w:basedOn w:val="882"/>
    <w:uiPriority w:val="99"/>
    <w:semiHidden/>
    <w:pPr>
      <w:pBdr/>
      <w:spacing/>
      <w:ind/>
    </w:pPr>
    <w:rPr>
      <w:rFonts w:cs="Times New Roman"/>
      <w:sz w:val="20"/>
      <w:szCs w:val="20"/>
    </w:rPr>
  </w:style>
  <w:style w:type="character" w:styleId="1326" w:customStyle="1">
    <w:name w:val="Texto de comentário Char32"/>
    <w:basedOn w:val="882"/>
    <w:uiPriority w:val="99"/>
    <w:semiHidden/>
    <w:pPr>
      <w:pBdr/>
      <w:spacing/>
      <w:ind/>
    </w:pPr>
    <w:rPr>
      <w:rFonts w:cs="Times New Roman"/>
      <w:sz w:val="20"/>
      <w:szCs w:val="20"/>
    </w:rPr>
  </w:style>
  <w:style w:type="character" w:styleId="1327" w:customStyle="1">
    <w:name w:val="Texto de comentário Char31"/>
    <w:basedOn w:val="882"/>
    <w:uiPriority w:val="99"/>
    <w:semiHidden/>
    <w:pPr>
      <w:pBdr/>
      <w:spacing/>
      <w:ind/>
    </w:pPr>
    <w:rPr>
      <w:rFonts w:cs="Times New Roman"/>
      <w:sz w:val="20"/>
      <w:szCs w:val="20"/>
    </w:rPr>
  </w:style>
  <w:style w:type="character" w:styleId="1328" w:customStyle="1">
    <w:name w:val="Recuo de corpo de texto 2 Char6"/>
    <w:basedOn w:val="882"/>
    <w:uiPriority w:val="99"/>
    <w:semiHidden/>
    <w:pPr>
      <w:pBdr/>
      <w:spacing/>
      <w:ind/>
    </w:pPr>
    <w:rPr>
      <w:sz w:val="20"/>
      <w:szCs w:val="20"/>
    </w:rPr>
  </w:style>
  <w:style w:type="character" w:styleId="1329" w:customStyle="1">
    <w:name w:val="Recuo de corpo de texto 2 Char64"/>
    <w:basedOn w:val="882"/>
    <w:uiPriority w:val="99"/>
    <w:semiHidden/>
    <w:pPr>
      <w:pBdr/>
      <w:spacing/>
      <w:ind/>
    </w:pPr>
    <w:rPr>
      <w:rFonts w:cs="Times New Roman"/>
      <w:sz w:val="20"/>
      <w:szCs w:val="20"/>
    </w:rPr>
  </w:style>
  <w:style w:type="character" w:styleId="1330" w:customStyle="1">
    <w:name w:val="Recuo de corpo de texto 2 Char63"/>
    <w:basedOn w:val="882"/>
    <w:uiPriority w:val="99"/>
    <w:semiHidden/>
    <w:pPr>
      <w:pBdr/>
      <w:spacing/>
      <w:ind/>
    </w:pPr>
    <w:rPr>
      <w:rFonts w:cs="Times New Roman"/>
      <w:sz w:val="20"/>
      <w:szCs w:val="20"/>
    </w:rPr>
  </w:style>
  <w:style w:type="character" w:styleId="1331" w:customStyle="1">
    <w:name w:val="Recuo de corpo de texto 2 Char62"/>
    <w:basedOn w:val="882"/>
    <w:uiPriority w:val="99"/>
    <w:semiHidden/>
    <w:pPr>
      <w:pBdr/>
      <w:spacing/>
      <w:ind/>
    </w:pPr>
    <w:rPr>
      <w:rFonts w:cs="Times New Roman"/>
      <w:sz w:val="20"/>
      <w:szCs w:val="20"/>
    </w:rPr>
  </w:style>
  <w:style w:type="character" w:styleId="1332" w:customStyle="1">
    <w:name w:val="Recuo de corpo de texto 2 Char61"/>
    <w:basedOn w:val="882"/>
    <w:uiPriority w:val="99"/>
    <w:semiHidden/>
    <w:pPr>
      <w:pBdr/>
      <w:spacing/>
      <w:ind/>
    </w:pPr>
    <w:rPr>
      <w:rFonts w:cs="Times New Roman"/>
      <w:sz w:val="20"/>
      <w:szCs w:val="20"/>
    </w:rPr>
  </w:style>
  <w:style w:type="character" w:styleId="1333" w:customStyle="1">
    <w:name w:val="Título Char3"/>
    <w:basedOn w:val="882"/>
    <w:uiPriority w:val="10"/>
    <w:pPr>
      <w:pBdr/>
      <w:spacing/>
      <w:ind/>
    </w:pPr>
    <w:rPr>
      <w:rFonts w:asciiTheme="majorHAnsi" w:hAnsiTheme="majorHAnsi" w:eastAsiaTheme="majorEastAsia" w:cstheme="majorBidi"/>
      <w:b/>
      <w:bCs/>
      <w:sz w:val="32"/>
      <w:szCs w:val="32"/>
    </w:rPr>
  </w:style>
  <w:style w:type="character" w:styleId="1334" w:customStyle="1">
    <w:name w:val="Título Char34"/>
    <w:basedOn w:val="882"/>
    <w:uiPriority w:val="10"/>
    <w:pPr>
      <w:pBdr/>
      <w:spacing/>
      <w:ind/>
    </w:pPr>
    <w:rPr>
      <w:rFonts w:cs="Times New Roman" w:asciiTheme="majorHAnsi" w:hAnsiTheme="majorHAnsi" w:eastAsiaTheme="majorEastAsia"/>
      <w:b/>
      <w:bCs/>
      <w:sz w:val="32"/>
      <w:szCs w:val="32"/>
    </w:rPr>
  </w:style>
  <w:style w:type="character" w:styleId="1335" w:customStyle="1">
    <w:name w:val="Título Char33"/>
    <w:basedOn w:val="882"/>
    <w:uiPriority w:val="10"/>
    <w:pPr>
      <w:pBdr/>
      <w:spacing/>
      <w:ind/>
    </w:pPr>
    <w:rPr>
      <w:rFonts w:cs="Times New Roman" w:asciiTheme="majorHAnsi" w:hAnsiTheme="majorHAnsi" w:eastAsiaTheme="majorEastAsia"/>
      <w:b/>
      <w:bCs/>
      <w:sz w:val="32"/>
      <w:szCs w:val="32"/>
    </w:rPr>
  </w:style>
  <w:style w:type="character" w:styleId="1336" w:customStyle="1">
    <w:name w:val="Título Char32"/>
    <w:basedOn w:val="882"/>
    <w:uiPriority w:val="10"/>
    <w:pPr>
      <w:pBdr/>
      <w:spacing/>
      <w:ind/>
    </w:pPr>
    <w:rPr>
      <w:rFonts w:cs="Times New Roman" w:asciiTheme="majorHAnsi" w:hAnsiTheme="majorHAnsi" w:eastAsiaTheme="majorEastAsia"/>
      <w:b/>
      <w:bCs/>
      <w:sz w:val="32"/>
      <w:szCs w:val="32"/>
    </w:rPr>
  </w:style>
  <w:style w:type="character" w:styleId="1337" w:customStyle="1">
    <w:name w:val="Título Char31"/>
    <w:basedOn w:val="882"/>
    <w:uiPriority w:val="10"/>
    <w:pPr>
      <w:pBdr/>
      <w:spacing/>
      <w:ind/>
    </w:pPr>
    <w:rPr>
      <w:rFonts w:cs="Times New Roman" w:asciiTheme="majorHAnsi" w:hAnsiTheme="majorHAnsi" w:eastAsiaTheme="majorEastAsia"/>
      <w:b/>
      <w:bCs/>
      <w:sz w:val="32"/>
      <w:szCs w:val="32"/>
    </w:rPr>
  </w:style>
  <w:style w:type="character" w:styleId="1338" w:customStyle="1">
    <w:name w:val="Texto sem Formatação Char3"/>
    <w:basedOn w:val="882"/>
    <w:uiPriority w:val="99"/>
    <w:semiHidden/>
    <w:pPr>
      <w:pBdr/>
      <w:spacing/>
      <w:ind/>
    </w:pPr>
    <w:rPr>
      <w:rFonts w:ascii="Courier New" w:hAnsi="Courier New" w:cs="Courier New"/>
      <w:sz w:val="20"/>
      <w:szCs w:val="20"/>
    </w:rPr>
  </w:style>
  <w:style w:type="character" w:styleId="1339" w:customStyle="1">
    <w:name w:val="Texto sem Formatação Char34"/>
    <w:basedOn w:val="882"/>
    <w:uiPriority w:val="99"/>
    <w:semiHidden/>
    <w:pPr>
      <w:pBdr/>
      <w:spacing/>
      <w:ind/>
    </w:pPr>
    <w:rPr>
      <w:rFonts w:ascii="Courier New" w:hAnsi="Courier New" w:cs="Courier New"/>
      <w:sz w:val="20"/>
      <w:szCs w:val="20"/>
    </w:rPr>
  </w:style>
  <w:style w:type="character" w:styleId="1340" w:customStyle="1">
    <w:name w:val="Texto sem Formatação Char33"/>
    <w:basedOn w:val="882"/>
    <w:uiPriority w:val="99"/>
    <w:semiHidden/>
    <w:pPr>
      <w:pBdr/>
      <w:spacing/>
      <w:ind/>
    </w:pPr>
    <w:rPr>
      <w:rFonts w:ascii="Courier New" w:hAnsi="Courier New" w:cs="Courier New"/>
      <w:sz w:val="20"/>
      <w:szCs w:val="20"/>
    </w:rPr>
  </w:style>
  <w:style w:type="character" w:styleId="1341" w:customStyle="1">
    <w:name w:val="Texto sem Formatação Char32"/>
    <w:basedOn w:val="882"/>
    <w:uiPriority w:val="99"/>
    <w:semiHidden/>
    <w:pPr>
      <w:pBdr/>
      <w:spacing/>
      <w:ind/>
    </w:pPr>
    <w:rPr>
      <w:rFonts w:ascii="Courier New" w:hAnsi="Courier New" w:cs="Courier New"/>
      <w:sz w:val="20"/>
      <w:szCs w:val="20"/>
    </w:rPr>
  </w:style>
  <w:style w:type="character" w:styleId="1342" w:customStyle="1">
    <w:name w:val="Texto sem Formatação Char31"/>
    <w:basedOn w:val="882"/>
    <w:uiPriority w:val="99"/>
    <w:semiHidden/>
    <w:pPr>
      <w:pBdr/>
      <w:spacing/>
      <w:ind/>
    </w:pPr>
    <w:rPr>
      <w:rFonts w:ascii="Courier New" w:hAnsi="Courier New" w:cs="Courier New"/>
      <w:sz w:val="20"/>
      <w:szCs w:val="20"/>
    </w:rPr>
  </w:style>
  <w:style w:type="character" w:styleId="1343" w:customStyle="1">
    <w:name w:val="Corpo de texto 3 Char6"/>
    <w:basedOn w:val="882"/>
    <w:uiPriority w:val="99"/>
    <w:semiHidden/>
    <w:pPr>
      <w:pBdr/>
      <w:spacing/>
      <w:ind/>
    </w:pPr>
    <w:rPr>
      <w:sz w:val="16"/>
      <w:szCs w:val="16"/>
    </w:rPr>
  </w:style>
  <w:style w:type="character" w:styleId="1344" w:customStyle="1">
    <w:name w:val="Corpo de texto 3 Char64"/>
    <w:basedOn w:val="882"/>
    <w:uiPriority w:val="99"/>
    <w:semiHidden/>
    <w:pPr>
      <w:pBdr/>
      <w:spacing/>
      <w:ind/>
    </w:pPr>
    <w:rPr>
      <w:rFonts w:cs="Times New Roman"/>
      <w:sz w:val="16"/>
      <w:szCs w:val="16"/>
    </w:rPr>
  </w:style>
  <w:style w:type="character" w:styleId="1345" w:customStyle="1">
    <w:name w:val="Corpo de texto 3 Char63"/>
    <w:basedOn w:val="882"/>
    <w:uiPriority w:val="99"/>
    <w:semiHidden/>
    <w:pPr>
      <w:pBdr/>
      <w:spacing/>
      <w:ind/>
    </w:pPr>
    <w:rPr>
      <w:rFonts w:cs="Times New Roman"/>
      <w:sz w:val="16"/>
      <w:szCs w:val="16"/>
    </w:rPr>
  </w:style>
  <w:style w:type="character" w:styleId="1346" w:customStyle="1">
    <w:name w:val="Corpo de texto 3 Char62"/>
    <w:basedOn w:val="882"/>
    <w:uiPriority w:val="99"/>
    <w:semiHidden/>
    <w:pPr>
      <w:pBdr/>
      <w:spacing/>
      <w:ind/>
    </w:pPr>
    <w:rPr>
      <w:rFonts w:cs="Times New Roman"/>
      <w:sz w:val="16"/>
      <w:szCs w:val="16"/>
    </w:rPr>
  </w:style>
  <w:style w:type="character" w:styleId="1347" w:customStyle="1">
    <w:name w:val="Corpo de texto 3 Char61"/>
    <w:basedOn w:val="882"/>
    <w:uiPriority w:val="99"/>
    <w:semiHidden/>
    <w:pPr>
      <w:pBdr/>
      <w:spacing/>
      <w:ind/>
    </w:pPr>
    <w:rPr>
      <w:rFonts w:cs="Times New Roman"/>
      <w:sz w:val="16"/>
      <w:szCs w:val="16"/>
    </w:rPr>
  </w:style>
  <w:style w:type="character" w:styleId="1348" w:customStyle="1">
    <w:name w:val="Corpo de texto 2 Char6"/>
    <w:basedOn w:val="882"/>
    <w:uiPriority w:val="99"/>
    <w:semiHidden/>
    <w:pPr>
      <w:pBdr/>
      <w:spacing/>
      <w:ind/>
    </w:pPr>
    <w:rPr>
      <w:sz w:val="20"/>
      <w:szCs w:val="20"/>
    </w:rPr>
  </w:style>
  <w:style w:type="character" w:styleId="1349" w:customStyle="1">
    <w:name w:val="Corpo de texto 2 Char64"/>
    <w:basedOn w:val="882"/>
    <w:uiPriority w:val="99"/>
    <w:semiHidden/>
    <w:pPr>
      <w:pBdr/>
      <w:spacing/>
      <w:ind/>
    </w:pPr>
    <w:rPr>
      <w:rFonts w:cs="Times New Roman"/>
      <w:sz w:val="20"/>
      <w:szCs w:val="20"/>
    </w:rPr>
  </w:style>
  <w:style w:type="character" w:styleId="1350" w:customStyle="1">
    <w:name w:val="Corpo de texto 2 Char63"/>
    <w:basedOn w:val="882"/>
    <w:uiPriority w:val="99"/>
    <w:semiHidden/>
    <w:pPr>
      <w:pBdr/>
      <w:spacing/>
      <w:ind/>
    </w:pPr>
    <w:rPr>
      <w:rFonts w:cs="Times New Roman"/>
      <w:sz w:val="20"/>
      <w:szCs w:val="20"/>
    </w:rPr>
  </w:style>
  <w:style w:type="character" w:styleId="1351" w:customStyle="1">
    <w:name w:val="Corpo de texto 2 Char62"/>
    <w:basedOn w:val="882"/>
    <w:uiPriority w:val="99"/>
    <w:semiHidden/>
    <w:pPr>
      <w:pBdr/>
      <w:spacing/>
      <w:ind/>
    </w:pPr>
    <w:rPr>
      <w:rFonts w:cs="Times New Roman"/>
      <w:sz w:val="20"/>
      <w:szCs w:val="20"/>
    </w:rPr>
  </w:style>
  <w:style w:type="character" w:styleId="1352" w:customStyle="1">
    <w:name w:val="Corpo de texto 2 Char61"/>
    <w:basedOn w:val="882"/>
    <w:uiPriority w:val="99"/>
    <w:semiHidden/>
    <w:pPr>
      <w:pBdr/>
      <w:spacing/>
      <w:ind/>
    </w:pPr>
    <w:rPr>
      <w:rFonts w:cs="Times New Roman"/>
      <w:sz w:val="20"/>
      <w:szCs w:val="20"/>
    </w:rPr>
  </w:style>
  <w:style w:type="character" w:styleId="1353" w:customStyle="1">
    <w:name w:val="Cabeçalho Char4"/>
    <w:basedOn w:val="882"/>
    <w:uiPriority w:val="99"/>
    <w:semiHidden/>
    <w:pPr>
      <w:pBdr/>
      <w:spacing/>
      <w:ind/>
    </w:pPr>
    <w:rPr>
      <w:sz w:val="20"/>
      <w:szCs w:val="20"/>
    </w:rPr>
  </w:style>
  <w:style w:type="character" w:styleId="1354" w:customStyle="1">
    <w:name w:val="Cabeçalho Char44"/>
    <w:basedOn w:val="882"/>
    <w:uiPriority w:val="99"/>
    <w:semiHidden/>
    <w:pPr>
      <w:pBdr/>
      <w:spacing/>
      <w:ind/>
    </w:pPr>
    <w:rPr>
      <w:rFonts w:cs="Times New Roman"/>
      <w:sz w:val="20"/>
      <w:szCs w:val="20"/>
    </w:rPr>
  </w:style>
  <w:style w:type="character" w:styleId="1355" w:customStyle="1">
    <w:name w:val="Cabeçalho Char43"/>
    <w:basedOn w:val="882"/>
    <w:uiPriority w:val="99"/>
    <w:semiHidden/>
    <w:pPr>
      <w:pBdr/>
      <w:spacing/>
      <w:ind/>
    </w:pPr>
    <w:rPr>
      <w:rFonts w:cs="Times New Roman"/>
      <w:sz w:val="20"/>
      <w:szCs w:val="20"/>
    </w:rPr>
  </w:style>
  <w:style w:type="character" w:styleId="1356" w:customStyle="1">
    <w:name w:val="Cabeçalho Char42"/>
    <w:basedOn w:val="882"/>
    <w:uiPriority w:val="99"/>
    <w:semiHidden/>
    <w:pPr>
      <w:pBdr/>
      <w:spacing/>
      <w:ind/>
    </w:pPr>
    <w:rPr>
      <w:rFonts w:cs="Times New Roman"/>
      <w:sz w:val="20"/>
      <w:szCs w:val="20"/>
    </w:rPr>
  </w:style>
  <w:style w:type="character" w:styleId="1357" w:customStyle="1">
    <w:name w:val="Cabeçalho Char41"/>
    <w:basedOn w:val="882"/>
    <w:uiPriority w:val="99"/>
    <w:semiHidden/>
    <w:pPr>
      <w:pBdr/>
      <w:spacing/>
      <w:ind/>
    </w:pPr>
    <w:rPr>
      <w:rFonts w:cs="Times New Roman"/>
      <w:sz w:val="20"/>
      <w:szCs w:val="20"/>
    </w:rPr>
  </w:style>
  <w:style w:type="character" w:styleId="1358" w:customStyle="1">
    <w:name w:val="Assunto do comentário Char3"/>
    <w:basedOn w:val="987"/>
    <w:uiPriority w:val="99"/>
    <w:semiHidden/>
    <w:pPr>
      <w:pBdr/>
      <w:spacing/>
      <w:ind/>
    </w:pPr>
    <w:rPr>
      <w:rFonts w:cs="Times New Roman"/>
      <w:b/>
      <w:bCs/>
      <w:sz w:val="20"/>
      <w:szCs w:val="20"/>
    </w:rPr>
  </w:style>
  <w:style w:type="character" w:styleId="1359" w:customStyle="1">
    <w:name w:val="Assunto do comentário Char34"/>
    <w:basedOn w:val="987"/>
    <w:uiPriority w:val="99"/>
    <w:semiHidden/>
    <w:pPr>
      <w:pBdr/>
      <w:spacing/>
      <w:ind/>
    </w:pPr>
    <w:rPr>
      <w:rFonts w:cs="Times New Roman"/>
      <w:b/>
      <w:bCs/>
      <w:sz w:val="20"/>
      <w:szCs w:val="20"/>
    </w:rPr>
  </w:style>
  <w:style w:type="character" w:styleId="1360" w:customStyle="1">
    <w:name w:val="Assunto do comentário Char33"/>
    <w:basedOn w:val="987"/>
    <w:uiPriority w:val="99"/>
    <w:semiHidden/>
    <w:pPr>
      <w:pBdr/>
      <w:spacing/>
      <w:ind/>
    </w:pPr>
    <w:rPr>
      <w:rFonts w:cs="Times New Roman"/>
      <w:b/>
      <w:bCs/>
      <w:sz w:val="20"/>
      <w:szCs w:val="20"/>
    </w:rPr>
  </w:style>
  <w:style w:type="character" w:styleId="1361" w:customStyle="1">
    <w:name w:val="Assunto do comentário Char32"/>
    <w:basedOn w:val="987"/>
    <w:uiPriority w:val="99"/>
    <w:semiHidden/>
    <w:pPr>
      <w:pBdr/>
      <w:spacing/>
      <w:ind/>
    </w:pPr>
    <w:rPr>
      <w:rFonts w:cs="Times New Roman"/>
      <w:b/>
      <w:bCs/>
      <w:sz w:val="20"/>
      <w:szCs w:val="20"/>
    </w:rPr>
  </w:style>
  <w:style w:type="character" w:styleId="1362" w:customStyle="1">
    <w:name w:val="Assunto do comentário Char31"/>
    <w:basedOn w:val="987"/>
    <w:uiPriority w:val="99"/>
    <w:semiHidden/>
    <w:pPr>
      <w:pBdr/>
      <w:spacing/>
      <w:ind/>
    </w:pPr>
    <w:rPr>
      <w:rFonts w:cs="Times New Roman"/>
      <w:b/>
      <w:bCs/>
      <w:sz w:val="20"/>
      <w:szCs w:val="20"/>
    </w:rPr>
  </w:style>
  <w:style w:type="character" w:styleId="1363" w:customStyle="1">
    <w:name w:val="Rodapé Char3"/>
    <w:basedOn w:val="882"/>
    <w:uiPriority w:val="99"/>
    <w:semiHidden/>
    <w:pPr>
      <w:pBdr/>
      <w:spacing/>
      <w:ind/>
    </w:pPr>
    <w:rPr>
      <w:sz w:val="20"/>
      <w:szCs w:val="20"/>
    </w:rPr>
  </w:style>
  <w:style w:type="character" w:styleId="1364" w:customStyle="1">
    <w:name w:val="Rodapé Char34"/>
    <w:basedOn w:val="882"/>
    <w:uiPriority w:val="99"/>
    <w:semiHidden/>
    <w:pPr>
      <w:pBdr/>
      <w:spacing/>
      <w:ind/>
    </w:pPr>
    <w:rPr>
      <w:rFonts w:cs="Times New Roman"/>
      <w:sz w:val="20"/>
      <w:szCs w:val="20"/>
    </w:rPr>
  </w:style>
  <w:style w:type="character" w:styleId="1365" w:customStyle="1">
    <w:name w:val="Rodapé Char33"/>
    <w:basedOn w:val="882"/>
    <w:uiPriority w:val="99"/>
    <w:semiHidden/>
    <w:pPr>
      <w:pBdr/>
      <w:spacing/>
      <w:ind/>
    </w:pPr>
    <w:rPr>
      <w:rFonts w:cs="Times New Roman"/>
      <w:sz w:val="20"/>
      <w:szCs w:val="20"/>
    </w:rPr>
  </w:style>
  <w:style w:type="character" w:styleId="1366" w:customStyle="1">
    <w:name w:val="Rodapé Char32"/>
    <w:basedOn w:val="882"/>
    <w:uiPriority w:val="99"/>
    <w:semiHidden/>
    <w:pPr>
      <w:pBdr/>
      <w:spacing/>
      <w:ind/>
    </w:pPr>
    <w:rPr>
      <w:rFonts w:cs="Times New Roman"/>
      <w:sz w:val="20"/>
      <w:szCs w:val="20"/>
    </w:rPr>
  </w:style>
  <w:style w:type="character" w:styleId="1367" w:customStyle="1">
    <w:name w:val="Rodapé Char31"/>
    <w:basedOn w:val="882"/>
    <w:uiPriority w:val="99"/>
    <w:semiHidden/>
    <w:pPr>
      <w:pBdr/>
      <w:spacing/>
      <w:ind/>
    </w:pPr>
    <w:rPr>
      <w:rFonts w:cs="Times New Roman"/>
      <w:sz w:val="20"/>
      <w:szCs w:val="20"/>
    </w:rPr>
  </w:style>
  <w:style w:type="paragraph" w:styleId="1368" w:customStyle="1">
    <w:name w:val="xl93"/>
    <w:basedOn w:val="872"/>
    <w:unhideWhenUsed/>
    <w:qFormat/>
    <w:pPr>
      <w:pBdr>
        <w:top w:val="single" w:color="000000" w:sz="8" w:space="0"/>
        <w:bottom w:val="single" w:color="000000" w:sz="4" w:space="0"/>
      </w:pBdr>
      <w:spacing w:afterAutospacing="1" w:beforeAutospacing="1"/>
      <w:ind/>
      <w:jc w:val="center"/>
    </w:pPr>
    <w:rPr>
      <w:b/>
      <w:sz w:val="24"/>
      <w:szCs w:val="24"/>
    </w:rPr>
  </w:style>
  <w:style w:type="character" w:styleId="1369" w:customStyle="1">
    <w:name w:val="Texto de balão Char3"/>
    <w:basedOn w:val="882"/>
    <w:uiPriority w:val="99"/>
    <w:semiHidden/>
    <w:pPr>
      <w:pBdr/>
      <w:spacing/>
      <w:ind/>
    </w:pPr>
    <w:rPr>
      <w:rFonts w:ascii="Segoe UI" w:hAnsi="Segoe UI" w:cs="Segoe UI"/>
      <w:sz w:val="18"/>
      <w:szCs w:val="18"/>
    </w:rPr>
  </w:style>
  <w:style w:type="character" w:styleId="1370" w:customStyle="1">
    <w:name w:val="Texto de balão Char34"/>
    <w:basedOn w:val="882"/>
    <w:uiPriority w:val="99"/>
    <w:semiHidden/>
    <w:pPr>
      <w:pBdr/>
      <w:spacing/>
      <w:ind/>
    </w:pPr>
    <w:rPr>
      <w:rFonts w:ascii="Segoe UI" w:hAnsi="Segoe UI" w:cs="Segoe UI"/>
      <w:sz w:val="18"/>
      <w:szCs w:val="18"/>
    </w:rPr>
  </w:style>
  <w:style w:type="character" w:styleId="1371" w:customStyle="1">
    <w:name w:val="Texto de balão Char33"/>
    <w:basedOn w:val="882"/>
    <w:uiPriority w:val="99"/>
    <w:semiHidden/>
    <w:pPr>
      <w:pBdr/>
      <w:spacing/>
      <w:ind/>
    </w:pPr>
    <w:rPr>
      <w:rFonts w:ascii="Segoe UI" w:hAnsi="Segoe UI" w:cs="Segoe UI"/>
      <w:sz w:val="18"/>
      <w:szCs w:val="18"/>
    </w:rPr>
  </w:style>
  <w:style w:type="character" w:styleId="1372" w:customStyle="1">
    <w:name w:val="Texto de balão Char32"/>
    <w:basedOn w:val="882"/>
    <w:uiPriority w:val="99"/>
    <w:semiHidden/>
    <w:pPr>
      <w:pBdr/>
      <w:spacing/>
      <w:ind/>
    </w:pPr>
    <w:rPr>
      <w:rFonts w:ascii="Segoe UI" w:hAnsi="Segoe UI" w:cs="Segoe UI"/>
      <w:sz w:val="18"/>
      <w:szCs w:val="18"/>
    </w:rPr>
  </w:style>
  <w:style w:type="character" w:styleId="1373" w:customStyle="1">
    <w:name w:val="Texto de balão Char31"/>
    <w:basedOn w:val="882"/>
    <w:uiPriority w:val="99"/>
    <w:semiHidden/>
    <w:pPr>
      <w:pBdr/>
      <w:spacing/>
      <w:ind/>
    </w:pPr>
    <w:rPr>
      <w:rFonts w:ascii="Segoe UI" w:hAnsi="Segoe UI" w:cs="Segoe UI"/>
      <w:sz w:val="18"/>
      <w:szCs w:val="18"/>
    </w:rPr>
  </w:style>
  <w:style w:type="paragraph" w:styleId="1374" w:customStyle="1">
    <w:name w:val="xl67"/>
    <w:basedOn w:val="872"/>
    <w:unhideWhenUsed/>
    <w:qFormat/>
    <w:pPr>
      <w:pBdr>
        <w:left w:val="single" w:color="000000" w:sz="8" w:space="0"/>
        <w:bottom w:val="single" w:color="000000" w:sz="8" w:space="0"/>
        <w:right w:val="single" w:color="000000" w:sz="8" w:space="0"/>
      </w:pBdr>
      <w:spacing w:afterAutospacing="1" w:beforeAutospacing="1"/>
      <w:ind/>
    </w:pPr>
    <w:rPr>
      <w:rFonts w:ascii="Arial" w:hAnsi="Arial" w:cs="Arial"/>
    </w:rPr>
  </w:style>
  <w:style w:type="character" w:styleId="1375" w:customStyle="1">
    <w:name w:val="Subtítulo Char3"/>
    <w:basedOn w:val="882"/>
    <w:uiPriority w:val="11"/>
    <w:pPr>
      <w:pBdr/>
      <w:spacing/>
      <w:ind/>
    </w:pPr>
    <w:rPr>
      <w:rFonts w:asciiTheme="majorHAnsi" w:hAnsiTheme="majorHAnsi" w:eastAsiaTheme="majorEastAsia" w:cstheme="majorBidi"/>
    </w:rPr>
  </w:style>
  <w:style w:type="character" w:styleId="1376" w:customStyle="1">
    <w:name w:val="Subtítulo Char34"/>
    <w:basedOn w:val="882"/>
    <w:uiPriority w:val="11"/>
    <w:pPr>
      <w:pBdr/>
      <w:spacing/>
      <w:ind/>
    </w:pPr>
    <w:rPr>
      <w:rFonts w:cs="Times New Roman" w:asciiTheme="majorHAnsi" w:hAnsiTheme="majorHAnsi" w:eastAsiaTheme="majorEastAsia"/>
    </w:rPr>
  </w:style>
  <w:style w:type="character" w:styleId="1377" w:customStyle="1">
    <w:name w:val="Subtítulo Char33"/>
    <w:basedOn w:val="882"/>
    <w:uiPriority w:val="11"/>
    <w:pPr>
      <w:pBdr/>
      <w:spacing/>
      <w:ind/>
    </w:pPr>
    <w:rPr>
      <w:rFonts w:cs="Times New Roman" w:asciiTheme="majorHAnsi" w:hAnsiTheme="majorHAnsi" w:eastAsiaTheme="majorEastAsia"/>
    </w:rPr>
  </w:style>
  <w:style w:type="character" w:styleId="1378" w:customStyle="1">
    <w:name w:val="Subtítulo Char32"/>
    <w:basedOn w:val="882"/>
    <w:uiPriority w:val="11"/>
    <w:pPr>
      <w:pBdr/>
      <w:spacing/>
      <w:ind/>
    </w:pPr>
    <w:rPr>
      <w:rFonts w:cs="Times New Roman" w:asciiTheme="majorHAnsi" w:hAnsiTheme="majorHAnsi" w:eastAsiaTheme="majorEastAsia"/>
    </w:rPr>
  </w:style>
  <w:style w:type="character" w:styleId="1379" w:customStyle="1">
    <w:name w:val="Subtítulo Char31"/>
    <w:basedOn w:val="882"/>
    <w:uiPriority w:val="11"/>
    <w:pPr>
      <w:pBdr/>
      <w:spacing/>
      <w:ind/>
    </w:pPr>
    <w:rPr>
      <w:rFonts w:cs="Times New Roman" w:asciiTheme="majorHAnsi" w:hAnsiTheme="majorHAnsi" w:eastAsiaTheme="majorEastAsia"/>
    </w:rPr>
  </w:style>
  <w:style w:type="character" w:styleId="1380" w:customStyle="1">
    <w:name w:val="Texto de nota de rodapé Char3"/>
    <w:basedOn w:val="882"/>
    <w:uiPriority w:val="99"/>
    <w:semiHidden/>
    <w:pPr>
      <w:pBdr/>
      <w:spacing/>
      <w:ind/>
    </w:pPr>
    <w:rPr>
      <w:sz w:val="20"/>
      <w:szCs w:val="20"/>
    </w:rPr>
  </w:style>
  <w:style w:type="character" w:styleId="1381" w:customStyle="1">
    <w:name w:val="Texto de nota de rodapé Char34"/>
    <w:basedOn w:val="882"/>
    <w:uiPriority w:val="99"/>
    <w:semiHidden/>
    <w:pPr>
      <w:pBdr/>
      <w:spacing/>
      <w:ind/>
    </w:pPr>
    <w:rPr>
      <w:rFonts w:cs="Times New Roman"/>
      <w:sz w:val="20"/>
      <w:szCs w:val="20"/>
    </w:rPr>
  </w:style>
  <w:style w:type="character" w:styleId="1382" w:customStyle="1">
    <w:name w:val="Texto de nota de rodapé Char33"/>
    <w:basedOn w:val="882"/>
    <w:uiPriority w:val="99"/>
    <w:semiHidden/>
    <w:pPr>
      <w:pBdr/>
      <w:spacing/>
      <w:ind/>
    </w:pPr>
    <w:rPr>
      <w:rFonts w:cs="Times New Roman"/>
      <w:sz w:val="20"/>
      <w:szCs w:val="20"/>
    </w:rPr>
  </w:style>
  <w:style w:type="character" w:styleId="1383" w:customStyle="1">
    <w:name w:val="Texto de nota de rodapé Char32"/>
    <w:basedOn w:val="882"/>
    <w:uiPriority w:val="99"/>
    <w:semiHidden/>
    <w:pPr>
      <w:pBdr/>
      <w:spacing/>
      <w:ind/>
    </w:pPr>
    <w:rPr>
      <w:rFonts w:cs="Times New Roman"/>
      <w:sz w:val="20"/>
      <w:szCs w:val="20"/>
    </w:rPr>
  </w:style>
  <w:style w:type="character" w:styleId="1384" w:customStyle="1">
    <w:name w:val="Texto de nota de rodapé Char31"/>
    <w:basedOn w:val="882"/>
    <w:uiPriority w:val="99"/>
    <w:semiHidden/>
    <w:pPr>
      <w:pBdr/>
      <w:spacing/>
      <w:ind/>
    </w:pPr>
    <w:rPr>
      <w:rFonts w:cs="Times New Roman"/>
      <w:sz w:val="20"/>
      <w:szCs w:val="20"/>
    </w:rPr>
  </w:style>
  <w:style w:type="character" w:styleId="1385" w:customStyle="1">
    <w:name w:val="Recuo de corpo de texto Char6"/>
    <w:basedOn w:val="882"/>
    <w:uiPriority w:val="99"/>
    <w:semiHidden/>
    <w:pPr>
      <w:pBdr/>
      <w:spacing/>
      <w:ind/>
    </w:pPr>
    <w:rPr>
      <w:sz w:val="20"/>
      <w:szCs w:val="20"/>
    </w:rPr>
  </w:style>
  <w:style w:type="character" w:styleId="1386" w:customStyle="1">
    <w:name w:val="Recuo de corpo de texto Char64"/>
    <w:basedOn w:val="882"/>
    <w:uiPriority w:val="99"/>
    <w:semiHidden/>
    <w:pPr>
      <w:pBdr/>
      <w:spacing/>
      <w:ind/>
    </w:pPr>
    <w:rPr>
      <w:rFonts w:cs="Times New Roman"/>
      <w:sz w:val="20"/>
      <w:szCs w:val="20"/>
    </w:rPr>
  </w:style>
  <w:style w:type="character" w:styleId="1387" w:customStyle="1">
    <w:name w:val="Recuo de corpo de texto Char63"/>
    <w:basedOn w:val="882"/>
    <w:uiPriority w:val="99"/>
    <w:semiHidden/>
    <w:pPr>
      <w:pBdr/>
      <w:spacing/>
      <w:ind/>
    </w:pPr>
    <w:rPr>
      <w:rFonts w:cs="Times New Roman"/>
      <w:sz w:val="20"/>
      <w:szCs w:val="20"/>
    </w:rPr>
  </w:style>
  <w:style w:type="character" w:styleId="1388" w:customStyle="1">
    <w:name w:val="Recuo de corpo de texto Char62"/>
    <w:basedOn w:val="882"/>
    <w:uiPriority w:val="99"/>
    <w:semiHidden/>
    <w:pPr>
      <w:pBdr/>
      <w:spacing/>
      <w:ind/>
    </w:pPr>
    <w:rPr>
      <w:rFonts w:cs="Times New Roman"/>
      <w:sz w:val="20"/>
      <w:szCs w:val="20"/>
    </w:rPr>
  </w:style>
  <w:style w:type="character" w:styleId="1389" w:customStyle="1">
    <w:name w:val="Recuo de corpo de texto Char61"/>
    <w:basedOn w:val="882"/>
    <w:uiPriority w:val="99"/>
    <w:semiHidden/>
    <w:pPr>
      <w:pBdr/>
      <w:spacing/>
      <w:ind/>
    </w:pPr>
    <w:rPr>
      <w:rFonts w:cs="Times New Roman"/>
      <w:sz w:val="20"/>
      <w:szCs w:val="20"/>
    </w:rPr>
  </w:style>
  <w:style w:type="paragraph" w:styleId="1390" w:customStyle="1">
    <w:name w:val="tcu_-_rel/voto_-_demais_§a7§a7"/>
    <w:basedOn w:val="872"/>
    <w:uiPriority w:val="99"/>
    <w:unhideWhenUsed/>
    <w:pPr>
      <w:pBdr/>
      <w:spacing w:afterAutospacing="1" w:beforeAutospacing="1"/>
      <w:ind/>
    </w:pPr>
    <w:rPr>
      <w:sz w:val="24"/>
      <w:szCs w:val="24"/>
    </w:rPr>
  </w:style>
  <w:style w:type="paragraph" w:styleId="1391" w:customStyle="1">
    <w:name w:val="Standard"/>
    <w:link w:val="1479"/>
    <w:uiPriority w:val="6"/>
    <w:unhideWhenUsed/>
    <w:qFormat/>
    <w:pPr>
      <w:pBdr/>
      <w:spacing/>
      <w:ind/>
    </w:pPr>
    <w:rPr>
      <w:rFonts w:ascii="Liberation Serif" w:hAnsi="Liberation Serif" w:eastAsia="NSimSun" w:cs="Arial"/>
      <w:sz w:val="24"/>
      <w:szCs w:val="24"/>
      <w:lang w:eastAsia="zh-CN" w:bidi="hi-IN"/>
    </w:rPr>
  </w:style>
  <w:style w:type="paragraph" w:styleId="1392" w:customStyle="1">
    <w:name w:val="xl81"/>
    <w:basedOn w:val="872"/>
    <w:unhideWhenUsed/>
    <w:qFormat/>
    <w:pPr>
      <w:pBdr/>
      <w:spacing w:afterAutospacing="1" w:beforeAutospacing="1"/>
      <w:ind/>
      <w:jc w:val="center"/>
    </w:pPr>
    <w:rPr>
      <w:rFonts w:ascii="Arial" w:hAnsi="Arial" w:cs="Arial"/>
      <w:b/>
    </w:rPr>
  </w:style>
  <w:style w:type="paragraph" w:styleId="1393" w:customStyle="1">
    <w:name w:val="_A010165"/>
    <w:uiPriority w:val="99"/>
    <w:unhideWhenUsed/>
    <w:qFormat/>
    <w:pPr>
      <w:pBdr/>
      <w:tabs>
        <w:tab w:val="left" w:leader="none" w:pos="584"/>
        <w:tab w:val="left" w:leader="none" w:pos="6560"/>
        <w:tab w:val="left" w:leader="none" w:pos="7133"/>
      </w:tabs>
      <w:spacing/>
      <w:ind/>
      <w:jc w:val="both"/>
    </w:pPr>
    <w:rPr>
      <w:rFonts w:ascii="Arial" w:hAnsi="Arial"/>
      <w:color w:val="000000"/>
      <w:sz w:val="22"/>
    </w:rPr>
  </w:style>
  <w:style w:type="paragraph" w:styleId="1394" w:customStyle="1">
    <w:name w:val="x_msoheading8"/>
    <w:basedOn w:val="872"/>
    <w:uiPriority w:val="99"/>
    <w:unhideWhenUsed/>
    <w:qFormat/>
    <w:pPr>
      <w:pBdr/>
      <w:spacing w:afterAutospacing="1" w:beforeAutospacing="1"/>
      <w:ind/>
    </w:pPr>
    <w:rPr>
      <w:sz w:val="24"/>
      <w:szCs w:val="24"/>
    </w:rPr>
  </w:style>
  <w:style w:type="paragraph" w:styleId="1395" w:customStyle="1">
    <w:name w:val="xl96"/>
    <w:basedOn w:val="872"/>
    <w:unhideWhenUsed/>
    <w:qFormat/>
    <w:pPr>
      <w:pBdr>
        <w:top w:val="single" w:color="000000" w:sz="4" w:space="0"/>
        <w:bottom w:val="single" w:color="000000" w:sz="8" w:space="0"/>
      </w:pBdr>
      <w:spacing w:afterAutospacing="1" w:beforeAutospacing="1"/>
      <w:ind/>
      <w:jc w:val="both"/>
    </w:pPr>
    <w:rPr>
      <w:rFonts w:ascii="Arial" w:hAnsi="Arial" w:cs="Arial"/>
      <w:b/>
      <w:sz w:val="19"/>
      <w:szCs w:val="19"/>
    </w:rPr>
  </w:style>
  <w:style w:type="paragraph" w:styleId="1396" w:customStyle="1">
    <w:name w:val="font7"/>
    <w:basedOn w:val="872"/>
    <w:unhideWhenUsed/>
    <w:qFormat/>
    <w:pPr>
      <w:pBdr/>
      <w:spacing w:afterAutospacing="1" w:beforeAutospacing="1"/>
      <w:ind/>
    </w:pPr>
    <w:rPr>
      <w:rFonts w:ascii="Arial" w:hAnsi="Arial" w:cs="Arial"/>
      <w:b/>
      <w:color w:val="000000"/>
      <w:sz w:val="19"/>
      <w:szCs w:val="19"/>
    </w:rPr>
  </w:style>
  <w:style w:type="paragraph" w:styleId="1397" w:customStyle="1">
    <w:name w:val="xl105"/>
    <w:basedOn w:val="872"/>
    <w:unhideWhenUsed/>
    <w:qFormat/>
    <w:pPr>
      <w:pBdr>
        <w:top w:val="single" w:color="000000" w:sz="8" w:space="0"/>
        <w:bottom w:val="single" w:color="000000" w:sz="8" w:space="0"/>
      </w:pBdr>
      <w:spacing w:afterAutospacing="1" w:beforeAutospacing="1"/>
      <w:ind/>
      <w:jc w:val="both"/>
    </w:pPr>
    <w:rPr>
      <w:rFonts w:ascii="Arial" w:hAnsi="Arial" w:cs="Arial"/>
      <w:b/>
      <w:sz w:val="19"/>
      <w:szCs w:val="19"/>
    </w:rPr>
  </w:style>
  <w:style w:type="paragraph" w:styleId="1398" w:customStyle="1">
    <w:name w:val="xl88"/>
    <w:basedOn w:val="872"/>
    <w:unhideWhenUsed/>
    <w:qFormat/>
    <w:pPr>
      <w:pBdr>
        <w:top w:val="single" w:color="000000" w:sz="8" w:space="0"/>
        <w:bottom w:val="single" w:color="000000" w:sz="8" w:space="0"/>
        <w:right w:val="single" w:color="000000" w:sz="8" w:space="0"/>
      </w:pBdr>
      <w:spacing w:afterAutospacing="1" w:beforeAutospacing="1"/>
      <w:ind/>
      <w:jc w:val="both"/>
    </w:pPr>
    <w:rPr>
      <w:rFonts w:ascii="Arial" w:hAnsi="Arial" w:cs="Arial"/>
      <w:b/>
    </w:rPr>
  </w:style>
  <w:style w:type="paragraph" w:styleId="1399" w:customStyle="1">
    <w:name w:val="04partenormativa"/>
    <w:basedOn w:val="872"/>
    <w:uiPriority w:val="99"/>
    <w:unhideWhenUsed/>
    <w:qFormat/>
    <w:pPr>
      <w:pBdr/>
      <w:spacing w:afterAutospacing="1" w:beforeAutospacing="1"/>
      <w:ind/>
    </w:pPr>
    <w:rPr>
      <w:sz w:val="24"/>
      <w:szCs w:val="24"/>
    </w:rPr>
  </w:style>
  <w:style w:type="paragraph" w:styleId="1400" w:customStyle="1">
    <w:name w:val="Conteúfado do quadro"/>
    <w:basedOn w:val="872"/>
    <w:uiPriority w:val="99"/>
    <w:unhideWhenUsed/>
    <w:pPr>
      <w:pBdr/>
      <w:spacing/>
      <w:ind/>
    </w:pPr>
  </w:style>
  <w:style w:type="paragraph" w:styleId="1401" w:customStyle="1">
    <w:name w:val="xl77"/>
    <w:basedOn w:val="872"/>
    <w:unhideWhenUsed/>
    <w:qFormat/>
    <w:pPr>
      <w:pBdr>
        <w:top w:val="single" w:color="000000" w:sz="4" w:space="0"/>
        <w:bottom w:val="single" w:color="000000" w:sz="4" w:space="0"/>
        <w:right w:val="single" w:color="000000" w:sz="4" w:space="0"/>
      </w:pBdr>
      <w:spacing w:afterAutospacing="1" w:beforeAutospacing="1"/>
      <w:ind/>
    </w:pPr>
    <w:rPr>
      <w:rFonts w:ascii="Arial" w:hAnsi="Arial" w:cs="Arial"/>
      <w:b/>
    </w:rPr>
  </w:style>
  <w:style w:type="paragraph" w:styleId="1402" w:customStyle="1">
    <w:name w:val="Nivel 3"/>
    <w:basedOn w:val="872"/>
    <w:uiPriority w:val="99"/>
    <w:unhideWhenUsed/>
    <w:pPr>
      <w:pBdr/>
      <w:spacing w:after="120" w:before="120" w:line="276" w:lineRule="auto"/>
      <w:ind w:left="284"/>
      <w:jc w:val="both"/>
    </w:pPr>
    <w:rPr>
      <w:rFonts w:ascii="Arial" w:hAnsi="Arial" w:eastAsia="MS Mincho" w:cs="Arial"/>
      <w:color w:val="000000"/>
    </w:rPr>
  </w:style>
  <w:style w:type="paragraph" w:styleId="1403" w:customStyle="1">
    <w:name w:val="xl87"/>
    <w:basedOn w:val="872"/>
    <w:unhideWhenUsed/>
    <w:qFormat/>
    <w:pPr>
      <w:pBdr>
        <w:top w:val="single" w:color="000000" w:sz="8" w:space="0"/>
        <w:bottom w:val="single" w:color="000000" w:sz="8" w:space="0"/>
      </w:pBdr>
      <w:spacing w:afterAutospacing="1" w:beforeAutospacing="1"/>
      <w:ind/>
      <w:jc w:val="both"/>
    </w:pPr>
    <w:rPr>
      <w:rFonts w:ascii="Arial" w:hAnsi="Arial" w:cs="Arial"/>
      <w:b/>
    </w:rPr>
  </w:style>
  <w:style w:type="character" w:styleId="1404" w:customStyle="1">
    <w:name w:val="Citação Char3"/>
    <w:basedOn w:val="882"/>
    <w:uiPriority w:val="29"/>
    <w:pPr>
      <w:pBdr/>
      <w:spacing/>
      <w:ind/>
    </w:pPr>
    <w:rPr>
      <w:i/>
      <w:iCs/>
      <w:color w:val="404040" w:themeColor="text1" w:themeTint="BF"/>
      <w:sz w:val="20"/>
      <w:szCs w:val="20"/>
    </w:rPr>
  </w:style>
  <w:style w:type="character" w:styleId="1405" w:customStyle="1">
    <w:name w:val="Citação Char34"/>
    <w:basedOn w:val="882"/>
    <w:uiPriority w:val="29"/>
    <w:pPr>
      <w:pBdr/>
      <w:spacing/>
      <w:ind/>
    </w:pPr>
    <w:rPr>
      <w:rFonts w:cs="Times New Roman"/>
      <w:i/>
      <w:iCs/>
      <w:color w:val="404040" w:themeColor="text1" w:themeTint="BF"/>
      <w:sz w:val="20"/>
      <w:szCs w:val="20"/>
    </w:rPr>
  </w:style>
  <w:style w:type="character" w:styleId="1406" w:customStyle="1">
    <w:name w:val="Citação Char33"/>
    <w:basedOn w:val="882"/>
    <w:uiPriority w:val="29"/>
    <w:pPr>
      <w:pBdr/>
      <w:spacing/>
      <w:ind/>
    </w:pPr>
    <w:rPr>
      <w:rFonts w:cs="Times New Roman"/>
      <w:i/>
      <w:iCs/>
      <w:color w:val="404040" w:themeColor="text1" w:themeTint="BF"/>
      <w:sz w:val="20"/>
      <w:szCs w:val="20"/>
    </w:rPr>
  </w:style>
  <w:style w:type="character" w:styleId="1407" w:customStyle="1">
    <w:name w:val="Citação Char32"/>
    <w:basedOn w:val="882"/>
    <w:uiPriority w:val="29"/>
    <w:pPr>
      <w:pBdr/>
      <w:spacing/>
      <w:ind/>
    </w:pPr>
    <w:rPr>
      <w:rFonts w:cs="Times New Roman"/>
      <w:i/>
      <w:iCs/>
      <w:color w:val="404040" w:themeColor="text1" w:themeTint="BF"/>
      <w:sz w:val="20"/>
      <w:szCs w:val="20"/>
    </w:rPr>
  </w:style>
  <w:style w:type="character" w:styleId="1408" w:customStyle="1">
    <w:name w:val="Citação Char31"/>
    <w:basedOn w:val="882"/>
    <w:uiPriority w:val="29"/>
    <w:pPr>
      <w:pBdr/>
      <w:spacing/>
      <w:ind/>
    </w:pPr>
    <w:rPr>
      <w:rFonts w:cs="Times New Roman"/>
      <w:i/>
      <w:iCs/>
      <w:color w:val="404040" w:themeColor="text1" w:themeTint="BF"/>
      <w:sz w:val="20"/>
      <w:szCs w:val="20"/>
    </w:rPr>
  </w:style>
  <w:style w:type="paragraph" w:styleId="1409" w:customStyle="1">
    <w:name w:val="font5"/>
    <w:basedOn w:val="872"/>
    <w:unhideWhenUsed/>
    <w:qFormat/>
    <w:pPr>
      <w:pBdr/>
      <w:spacing w:afterAutospacing="1" w:beforeAutospacing="1"/>
      <w:ind/>
    </w:pPr>
    <w:rPr>
      <w:rFonts w:ascii="Arial" w:hAnsi="Arial" w:cs="Arial"/>
      <w:b/>
      <w:color w:val="000000"/>
    </w:rPr>
  </w:style>
  <w:style w:type="paragraph" w:styleId="1410" w:customStyle="1">
    <w:name w:val="xl95"/>
    <w:basedOn w:val="872"/>
    <w:unhideWhenUsed/>
    <w:qFormat/>
    <w:pPr>
      <w:pBdr>
        <w:top w:val="single" w:color="000000" w:sz="4" w:space="0"/>
        <w:bottom w:val="single" w:color="000000" w:sz="8" w:space="0"/>
      </w:pBdr>
      <w:spacing w:afterAutospacing="1" w:beforeAutospacing="1"/>
      <w:ind/>
      <w:jc w:val="both"/>
    </w:pPr>
    <w:rPr>
      <w:rFonts w:ascii="Arial" w:hAnsi="Arial" w:cs="Arial"/>
      <w:b/>
    </w:rPr>
  </w:style>
  <w:style w:type="paragraph" w:styleId="1411" w:customStyle="1">
    <w:name w:val="xl107"/>
    <w:basedOn w:val="872"/>
    <w:unhideWhenUsed/>
    <w:qFormat/>
    <w:pPr>
      <w:pBdr>
        <w:top w:val="single" w:color="000000" w:sz="8" w:space="0"/>
      </w:pBdr>
      <w:spacing w:afterAutospacing="1" w:beforeAutospacing="1"/>
      <w:ind/>
      <w:jc w:val="both"/>
    </w:pPr>
    <w:rPr>
      <w:rFonts w:ascii="Arial" w:hAnsi="Arial" w:cs="Arial"/>
    </w:rPr>
  </w:style>
  <w:style w:type="paragraph" w:styleId="1412" w:customStyle="1">
    <w:name w:val="xl71"/>
    <w:basedOn w:val="872"/>
    <w:unhideWhenUsed/>
    <w:qFormat/>
    <w:pPr>
      <w:pBdr>
        <w:bottom w:val="single" w:color="000000" w:sz="8" w:space="0"/>
        <w:right w:val="single" w:color="000000" w:sz="8" w:space="0"/>
      </w:pBdr>
      <w:spacing w:afterAutospacing="1" w:beforeAutospacing="1"/>
      <w:ind/>
    </w:pPr>
    <w:rPr>
      <w:rFonts w:ascii="Arial" w:hAnsi="Arial" w:cs="Arial"/>
    </w:rPr>
  </w:style>
  <w:style w:type="paragraph" w:styleId="1413" w:customStyle="1">
    <w:name w:val="Níedvel 3-R"/>
    <w:uiPriority w:val="99"/>
    <w:unhideWhenUsed/>
    <w:pPr>
      <w:widowControl w:val="false"/>
      <w:pBdr/>
      <w:spacing w:after="120" w:before="120" w:line="276" w:lineRule="auto"/>
      <w:ind w:left="284"/>
      <w:jc w:val="both"/>
    </w:pPr>
    <w:rPr>
      <w:rFonts w:ascii="Arial" w:hAnsi="Arial" w:eastAsia="MS Mincho" w:cs="Arial"/>
      <w:i/>
      <w:color w:val="ff0000"/>
      <w:sz w:val="24"/>
      <w:szCs w:val="24"/>
      <w:lang w:eastAsia="zh-CN" w:bidi="hi-IN"/>
    </w:rPr>
  </w:style>
  <w:style w:type="paragraph" w:styleId="1414" w:customStyle="1">
    <w:name w:val="font6"/>
    <w:basedOn w:val="872"/>
    <w:unhideWhenUsed/>
    <w:qFormat/>
    <w:pPr>
      <w:pBdr/>
      <w:spacing w:afterAutospacing="1" w:beforeAutospacing="1"/>
      <w:ind/>
    </w:pPr>
    <w:rPr>
      <w:rFonts w:ascii="Arial" w:hAnsi="Arial" w:cs="Arial"/>
      <w:color w:val="000000"/>
    </w:rPr>
  </w:style>
  <w:style w:type="paragraph" w:styleId="1415" w:customStyle="1">
    <w:name w:val="xl100"/>
    <w:basedOn w:val="872"/>
    <w:unhideWhenUsed/>
    <w:qFormat/>
    <w:pPr>
      <w:pBdr/>
      <w:spacing w:afterAutospacing="1" w:beforeAutospacing="1"/>
      <w:ind/>
      <w:jc w:val="center"/>
    </w:pPr>
    <w:rPr>
      <w:rFonts w:ascii="Arial" w:hAnsi="Arial" w:cs="Arial"/>
      <w:b/>
    </w:rPr>
  </w:style>
  <w:style w:type="paragraph" w:styleId="1416" w:customStyle="1">
    <w:name w:val="xl82"/>
    <w:basedOn w:val="872"/>
    <w:unhideWhenUsed/>
    <w:qFormat/>
    <w:pPr>
      <w:pBdr/>
      <w:spacing w:afterAutospacing="1" w:beforeAutospacing="1"/>
      <w:ind/>
      <w:jc w:val="center"/>
    </w:pPr>
    <w:rPr>
      <w:rFonts w:ascii="Arial" w:hAnsi="Arial" w:cs="Arial"/>
    </w:rPr>
  </w:style>
  <w:style w:type="paragraph" w:styleId="1417" w:customStyle="1">
    <w:name w:val="xl79"/>
    <w:basedOn w:val="872"/>
    <w:unhideWhenUsed/>
    <w:qFormat/>
    <w:pPr>
      <w:pBdr>
        <w:bottom w:val="single" w:color="000000" w:sz="8" w:space="0"/>
        <w:right w:val="single" w:color="000000" w:sz="8" w:space="0"/>
      </w:pBdr>
      <w:spacing w:afterAutospacing="1" w:beforeAutospacing="1"/>
      <w:ind/>
      <w:jc w:val="both"/>
    </w:pPr>
    <w:rPr>
      <w:rFonts w:ascii="Arial" w:hAnsi="Arial" w:cs="Arial"/>
    </w:rPr>
  </w:style>
  <w:style w:type="paragraph" w:styleId="1418" w:customStyle="1">
    <w:name w:val="xl104"/>
    <w:basedOn w:val="872"/>
    <w:unhideWhenUsed/>
    <w:qFormat/>
    <w:pPr>
      <w:pBdr>
        <w:top w:val="single" w:color="000000" w:sz="8" w:space="0"/>
        <w:bottom w:val="single" w:color="000000" w:sz="8" w:space="0"/>
      </w:pBdr>
      <w:spacing w:afterAutospacing="1" w:beforeAutospacing="1"/>
      <w:ind/>
      <w:jc w:val="both"/>
    </w:pPr>
    <w:rPr>
      <w:rFonts w:ascii="Arial" w:hAnsi="Arial" w:cs="Arial"/>
      <w:b/>
    </w:rPr>
  </w:style>
  <w:style w:type="paragraph" w:styleId="1419" w:customStyle="1">
    <w:name w:val="xl74"/>
    <w:basedOn w:val="872"/>
    <w:unhideWhenUsed/>
    <w:qFormat/>
    <w:pPr>
      <w:pBdr>
        <w:right w:val="single" w:color="000000" w:sz="8" w:space="0"/>
      </w:pBdr>
      <w:spacing w:afterAutospacing="1" w:beforeAutospacing="1"/>
      <w:ind/>
    </w:pPr>
    <w:rPr>
      <w:rFonts w:ascii="Arial" w:hAnsi="Arial" w:cs="Arial"/>
    </w:rPr>
  </w:style>
  <w:style w:type="paragraph" w:styleId="1420" w:customStyle="1">
    <w:name w:val="western"/>
    <w:basedOn w:val="872"/>
    <w:uiPriority w:val="99"/>
    <w:unhideWhenUsed/>
    <w:pPr>
      <w:pBdr/>
      <w:spacing w:afterAutospacing="1" w:beforeAutospacing="1"/>
      <w:ind/>
    </w:pPr>
    <w:rPr>
      <w:sz w:val="24"/>
      <w:szCs w:val="24"/>
      <w:lang w:eastAsia="ja-JP"/>
    </w:rPr>
  </w:style>
  <w:style w:type="paragraph" w:styleId="1421" w:customStyle="1">
    <w:name w:val="Normal1"/>
    <w:uiPriority w:val="99"/>
    <w:unhideWhenUsed/>
    <w:pPr>
      <w:pBdr/>
      <w:spacing w:line="100" w:lineRule="atLeast"/>
      <w:ind/>
    </w:pPr>
    <w:rPr>
      <w:lang w:eastAsia="zh-CN"/>
    </w:rPr>
  </w:style>
  <w:style w:type="paragraph" w:styleId="1422" w:customStyle="1">
    <w:name w:val="Cabeçe7alho e Rodapée9"/>
    <w:basedOn w:val="872"/>
    <w:uiPriority w:val="99"/>
    <w:unhideWhenUsed/>
    <w:pPr>
      <w:pBdr/>
      <w:spacing/>
      <w:ind/>
    </w:pPr>
  </w:style>
  <w:style w:type="paragraph" w:styleId="1423" w:customStyle="1">
    <w:name w:val="Cabeçalho do Sumário1"/>
    <w:basedOn w:val="873"/>
    <w:next w:val="872"/>
    <w:uiPriority w:val="99"/>
    <w:qFormat/>
    <w:pPr>
      <w:keepLines w:val="true"/>
      <w:pBdr/>
      <w:spacing w:line="256" w:lineRule="auto"/>
      <w:ind/>
    </w:pPr>
    <w:rPr>
      <w:rFonts w:ascii="Calibri" w:hAnsi="Calibri" w:eastAsia="MS Gothic"/>
    </w:rPr>
  </w:style>
  <w:style w:type="paragraph" w:styleId="1424" w:customStyle="1">
    <w:name w:val="Default"/>
    <w:unhideWhenUsed/>
    <w:qFormat/>
    <w:pPr>
      <w:pBdr/>
      <w:spacing/>
      <w:ind/>
    </w:pPr>
    <w:rPr>
      <w:rFonts w:ascii="Arial" w:hAnsi="Arial" w:cs="Arial"/>
      <w:color w:val="000000"/>
      <w:sz w:val="24"/>
      <w:szCs w:val="24"/>
    </w:rPr>
  </w:style>
  <w:style w:type="paragraph" w:styleId="1425" w:customStyle="1">
    <w:name w:val="paragraph"/>
    <w:basedOn w:val="872"/>
    <w:uiPriority w:val="99"/>
    <w:unhideWhenUsed/>
    <w:pPr>
      <w:pBdr/>
      <w:spacing w:afterAutospacing="1" w:beforeAutospacing="1"/>
      <w:ind/>
    </w:pPr>
    <w:rPr>
      <w:sz w:val="24"/>
      <w:szCs w:val="24"/>
    </w:rPr>
  </w:style>
  <w:style w:type="paragraph" w:styleId="1426" w:customStyle="1">
    <w:name w:val="xl80"/>
    <w:basedOn w:val="872"/>
    <w:unhideWhenUsed/>
    <w:qFormat/>
    <w:pPr>
      <w:pBdr>
        <w:bottom w:val="single" w:color="000000" w:sz="8" w:space="0"/>
        <w:right w:val="single" w:color="000000" w:sz="8" w:space="0"/>
      </w:pBdr>
      <w:spacing w:afterAutospacing="1" w:beforeAutospacing="1"/>
      <w:ind/>
    </w:pPr>
    <w:rPr>
      <w:rFonts w:ascii="Arial" w:hAnsi="Arial" w:cs="Arial"/>
      <w:b/>
    </w:rPr>
  </w:style>
  <w:style w:type="paragraph" w:styleId="1427" w:customStyle="1">
    <w:name w:val="xl89"/>
    <w:basedOn w:val="872"/>
    <w:unhideWhenUsed/>
    <w:qFormat/>
    <w:pPr>
      <w:pBdr>
        <w:top w:val="single" w:color="000000" w:sz="4" w:space="0"/>
        <w:left w:val="single" w:color="000000" w:sz="4" w:space="0"/>
        <w:bottom w:val="single" w:color="000000" w:sz="4" w:space="0"/>
      </w:pBdr>
      <w:spacing w:afterAutospacing="1" w:beforeAutospacing="1"/>
      <w:ind/>
      <w:jc w:val="center"/>
    </w:pPr>
    <w:rPr>
      <w:b/>
      <w:sz w:val="24"/>
      <w:szCs w:val="24"/>
    </w:rPr>
  </w:style>
  <w:style w:type="paragraph" w:styleId="1428" w:customStyle="1">
    <w:name w:val="xl102"/>
    <w:basedOn w:val="872"/>
    <w:unhideWhenUsed/>
    <w:qFormat/>
    <w:pPr>
      <w:pBdr>
        <w:top w:val="single" w:color="000000" w:sz="8" w:space="0"/>
        <w:bottom w:val="single" w:color="000000" w:sz="8" w:space="0"/>
      </w:pBdr>
      <w:spacing w:afterAutospacing="1" w:beforeAutospacing="1"/>
      <w:ind/>
      <w:jc w:val="center"/>
    </w:pPr>
    <w:rPr>
      <w:b/>
      <w:sz w:val="24"/>
      <w:szCs w:val="24"/>
    </w:rPr>
  </w:style>
  <w:style w:type="paragraph" w:styleId="1429" w:customStyle="1">
    <w:name w:val="xl90"/>
    <w:basedOn w:val="872"/>
    <w:unhideWhenUsed/>
    <w:qFormat/>
    <w:pPr>
      <w:pBdr>
        <w:top w:val="single" w:color="000000" w:sz="4" w:space="0"/>
        <w:bottom w:val="single" w:color="000000" w:sz="4" w:space="0"/>
      </w:pBdr>
      <w:spacing w:afterAutospacing="1" w:beforeAutospacing="1"/>
      <w:ind/>
      <w:jc w:val="center"/>
    </w:pPr>
    <w:rPr>
      <w:b/>
      <w:sz w:val="24"/>
      <w:szCs w:val="24"/>
    </w:rPr>
  </w:style>
  <w:style w:type="paragraph" w:styleId="1430" w:customStyle="1">
    <w:name w:val="xl70"/>
    <w:basedOn w:val="872"/>
    <w:unhideWhenUsed/>
    <w:qFormat/>
    <w:pPr>
      <w:pBdr>
        <w:bottom w:val="single" w:color="000000" w:sz="8" w:space="0"/>
        <w:right w:val="single" w:color="000000" w:sz="8" w:space="0"/>
      </w:pBdr>
      <w:spacing w:afterAutospacing="1" w:beforeAutospacing="1"/>
      <w:ind/>
      <w:jc w:val="both"/>
    </w:pPr>
    <w:rPr>
      <w:rFonts w:ascii="Arial" w:hAnsi="Arial" w:cs="Arial"/>
      <w:b/>
      <w:sz w:val="19"/>
      <w:szCs w:val="19"/>
    </w:rPr>
  </w:style>
  <w:style w:type="paragraph" w:styleId="1431" w:customStyle="1">
    <w:name w:val="caption1"/>
    <w:basedOn w:val="872"/>
    <w:next w:val="872"/>
    <w:uiPriority w:val="99"/>
    <w:unhideWhenUsed/>
    <w:pPr>
      <w:pBdr/>
      <w:spacing w:after="200"/>
      <w:ind/>
    </w:pPr>
    <w:rPr>
      <w:rFonts w:ascii="Calibri" w:hAnsi="Calibri"/>
      <w:b/>
      <w:smallCaps/>
      <w:color w:val="000000"/>
      <w:sz w:val="21"/>
      <w:szCs w:val="21"/>
      <w:lang w:eastAsia="en-US"/>
    </w:rPr>
  </w:style>
  <w:style w:type="paragraph" w:styleId="1432" w:customStyle="1">
    <w:name w:val="xl97"/>
    <w:basedOn w:val="872"/>
    <w:unhideWhenUsed/>
    <w:qFormat/>
    <w:pPr>
      <w:pBdr>
        <w:top w:val="single" w:color="000000" w:sz="8" w:space="0"/>
        <w:left w:val="single" w:color="000000" w:sz="8" w:space="0"/>
        <w:bottom w:val="single" w:color="000000" w:sz="8" w:space="0"/>
      </w:pBdr>
      <w:spacing w:afterAutospacing="1" w:beforeAutospacing="1"/>
      <w:ind/>
      <w:jc w:val="both"/>
    </w:pPr>
    <w:rPr>
      <w:rFonts w:ascii="Arial" w:hAnsi="Arial" w:cs="Arial"/>
      <w:b/>
      <w:sz w:val="19"/>
      <w:szCs w:val="19"/>
    </w:rPr>
  </w:style>
  <w:style w:type="paragraph" w:styleId="1433" w:customStyle="1">
    <w:name w:val="xl99"/>
    <w:basedOn w:val="872"/>
    <w:unhideWhenUsed/>
    <w:qFormat/>
    <w:pPr>
      <w:pBdr>
        <w:top w:val="single" w:color="000000" w:sz="8" w:space="0"/>
        <w:bottom w:val="single" w:color="000000" w:sz="8" w:space="0"/>
        <w:right w:val="single" w:color="000000" w:sz="8" w:space="0"/>
      </w:pBdr>
      <w:spacing w:afterAutospacing="1" w:beforeAutospacing="1"/>
      <w:ind/>
      <w:jc w:val="both"/>
    </w:pPr>
    <w:rPr>
      <w:rFonts w:ascii="Arial" w:hAnsi="Arial" w:cs="Arial"/>
      <w:b/>
      <w:sz w:val="19"/>
      <w:szCs w:val="19"/>
    </w:rPr>
  </w:style>
  <w:style w:type="paragraph" w:styleId="1434" w:customStyle="1">
    <w:name w:val="PADRAO"/>
    <w:unhideWhenUsed/>
    <w:qFormat/>
    <w:pPr>
      <w:pBdr/>
      <w:spacing/>
      <w:ind/>
      <w:jc w:val="both"/>
    </w:pPr>
    <w:rPr>
      <w:color w:val="000000"/>
      <w:sz w:val="24"/>
    </w:rPr>
  </w:style>
  <w:style w:type="paragraph" w:styleId="1435" w:customStyle="1">
    <w:name w:val="Nivel 01"/>
    <w:basedOn w:val="873"/>
    <w:next w:val="872"/>
    <w:uiPriority w:val="99"/>
    <w:unhideWhenUsed/>
    <w:pPr>
      <w:keepLines w:val="true"/>
      <w:pBdr/>
      <w:tabs>
        <w:tab w:val="left" w:leader="none" w:pos="567"/>
      </w:tabs>
      <w:spacing/>
      <w:ind w:hanging="360" w:left="720"/>
      <w:jc w:val="both"/>
    </w:pPr>
    <w:rPr>
      <w:rFonts w:ascii="Ecofont_Spranq_eco_Sans" w:hAnsi="Ecofont_Spranq_eco_Sans" w:eastAsia="MS Gothic"/>
      <w:color w:val="000000"/>
    </w:rPr>
  </w:style>
  <w:style w:type="character" w:styleId="1436" w:customStyle="1">
    <w:name w:val="Citação Intensa Char3"/>
    <w:basedOn w:val="882"/>
    <w:uiPriority w:val="30"/>
    <w:pPr>
      <w:pBdr/>
      <w:spacing/>
      <w:ind/>
    </w:pPr>
    <w:rPr>
      <w:i/>
      <w:iCs/>
      <w:color w:val="156082" w:themeColor="accent1"/>
      <w:sz w:val="20"/>
      <w:szCs w:val="20"/>
    </w:rPr>
  </w:style>
  <w:style w:type="character" w:styleId="1437" w:customStyle="1">
    <w:name w:val="Citação Intensa Char34"/>
    <w:basedOn w:val="882"/>
    <w:uiPriority w:val="30"/>
    <w:pPr>
      <w:pBdr/>
      <w:spacing/>
      <w:ind/>
    </w:pPr>
    <w:rPr>
      <w:rFonts w:cs="Times New Roman"/>
      <w:i/>
      <w:iCs/>
      <w:color w:val="156082" w:themeColor="accent1"/>
      <w:sz w:val="20"/>
      <w:szCs w:val="20"/>
    </w:rPr>
  </w:style>
  <w:style w:type="character" w:styleId="1438" w:customStyle="1">
    <w:name w:val="Citação Intensa Char33"/>
    <w:basedOn w:val="882"/>
    <w:uiPriority w:val="30"/>
    <w:pPr>
      <w:pBdr/>
      <w:spacing/>
      <w:ind/>
    </w:pPr>
    <w:rPr>
      <w:rFonts w:cs="Times New Roman"/>
      <w:i/>
      <w:iCs/>
      <w:color w:val="156082" w:themeColor="accent1"/>
      <w:sz w:val="20"/>
      <w:szCs w:val="20"/>
    </w:rPr>
  </w:style>
  <w:style w:type="character" w:styleId="1439" w:customStyle="1">
    <w:name w:val="Citação Intensa Char32"/>
    <w:basedOn w:val="882"/>
    <w:uiPriority w:val="30"/>
    <w:pPr>
      <w:pBdr/>
      <w:spacing/>
      <w:ind/>
    </w:pPr>
    <w:rPr>
      <w:rFonts w:cs="Times New Roman"/>
      <w:i/>
      <w:iCs/>
      <w:color w:val="156082" w:themeColor="accent1"/>
      <w:sz w:val="20"/>
      <w:szCs w:val="20"/>
    </w:rPr>
  </w:style>
  <w:style w:type="character" w:styleId="1440" w:customStyle="1">
    <w:name w:val="Citação Intensa Char31"/>
    <w:basedOn w:val="882"/>
    <w:uiPriority w:val="30"/>
    <w:pPr>
      <w:pBdr/>
      <w:spacing/>
      <w:ind/>
    </w:pPr>
    <w:rPr>
      <w:rFonts w:cs="Times New Roman"/>
      <w:i/>
      <w:iCs/>
      <w:color w:val="0f4761" w:themeColor="accent1" w:themeShade="BF"/>
      <w:sz w:val="20"/>
      <w:szCs w:val="20"/>
    </w:rPr>
  </w:style>
  <w:style w:type="paragraph" w:styleId="1441" w:customStyle="1">
    <w:name w:val="xl68"/>
    <w:basedOn w:val="872"/>
    <w:unhideWhenUsed/>
    <w:qFormat/>
    <w:pPr>
      <w:pBdr>
        <w:bottom w:val="single" w:color="000000" w:sz="8" w:space="0"/>
        <w:right w:val="single" w:color="000000" w:sz="8" w:space="0"/>
      </w:pBdr>
      <w:spacing w:afterAutospacing="1" w:beforeAutospacing="1"/>
      <w:ind/>
    </w:pPr>
    <w:rPr>
      <w:rFonts w:ascii="Arial" w:hAnsi="Arial" w:cs="Arial"/>
    </w:rPr>
  </w:style>
  <w:style w:type="paragraph" w:styleId="1442" w:customStyle="1">
    <w:name w:val="xl75"/>
    <w:basedOn w:val="872"/>
    <w:unhideWhenUsed/>
    <w:qFormat/>
    <w:pPr>
      <w:pBdr>
        <w:right w:val="single" w:color="000000" w:sz="8" w:space="0"/>
      </w:pBdr>
      <w:spacing w:afterAutospacing="1" w:beforeAutospacing="1"/>
      <w:ind/>
      <w:jc w:val="center"/>
    </w:pPr>
    <w:rPr>
      <w:rFonts w:ascii="Arial" w:hAnsi="Arial" w:cs="Arial"/>
    </w:rPr>
  </w:style>
  <w:style w:type="paragraph" w:styleId="1443" w:customStyle="1">
    <w:name w:val="xl103"/>
    <w:basedOn w:val="872"/>
    <w:unhideWhenUsed/>
    <w:qFormat/>
    <w:pPr>
      <w:pBdr>
        <w:top w:val="single" w:color="000000" w:sz="8" w:space="0"/>
        <w:bottom w:val="single" w:color="000000" w:sz="8" w:space="0"/>
        <w:right w:val="single" w:color="000000" w:sz="4" w:space="0"/>
      </w:pBdr>
      <w:spacing w:afterAutospacing="1" w:beforeAutospacing="1"/>
      <w:ind/>
      <w:jc w:val="center"/>
    </w:pPr>
    <w:rPr>
      <w:b/>
      <w:sz w:val="24"/>
      <w:szCs w:val="24"/>
    </w:rPr>
  </w:style>
  <w:style w:type="paragraph" w:styleId="1444" w:customStyle="1">
    <w:name w:val="xl91"/>
    <w:basedOn w:val="872"/>
    <w:unhideWhenUsed/>
    <w:qFormat/>
    <w:pPr>
      <w:pBdr>
        <w:top w:val="single" w:color="000000" w:sz="4" w:space="0"/>
        <w:bottom w:val="single" w:color="000000" w:sz="4" w:space="0"/>
        <w:right w:val="single" w:color="000000" w:sz="4" w:space="0"/>
      </w:pBdr>
      <w:spacing w:afterAutospacing="1" w:beforeAutospacing="1"/>
      <w:ind/>
      <w:jc w:val="center"/>
    </w:pPr>
    <w:rPr>
      <w:b/>
      <w:sz w:val="24"/>
      <w:szCs w:val="24"/>
    </w:rPr>
  </w:style>
  <w:style w:type="paragraph" w:styleId="1445" w:customStyle="1">
    <w:name w:val="Texto sem Formataçe7ãe3o2"/>
    <w:basedOn w:val="872"/>
    <w:uiPriority w:val="99"/>
    <w:unhideWhenUsed/>
    <w:pPr>
      <w:pBdr/>
      <w:spacing/>
      <w:ind/>
      <w:jc w:val="both"/>
    </w:pPr>
    <w:rPr>
      <w:rFonts w:ascii="Courier New" w:hAnsi="Courier New" w:cs="Courier New"/>
      <w:lang w:eastAsia="zh-CN"/>
    </w:rPr>
  </w:style>
  <w:style w:type="paragraph" w:styleId="1446" w:customStyle="1">
    <w:name w:val="xl76"/>
    <w:basedOn w:val="872"/>
    <w:unhideWhenUsed/>
    <w:qFormat/>
    <w:pPr>
      <w:pBdr>
        <w:right w:val="single" w:color="000000" w:sz="8" w:space="0"/>
      </w:pBdr>
      <w:spacing w:afterAutospacing="1" w:beforeAutospacing="1"/>
      <w:ind/>
    </w:pPr>
    <w:rPr>
      <w:rFonts w:ascii="Arial" w:hAnsi="Arial" w:cs="Arial"/>
    </w:rPr>
  </w:style>
  <w:style w:type="paragraph" w:styleId="1447" w:customStyle="1">
    <w:name w:val="xl83"/>
    <w:basedOn w:val="872"/>
    <w:unhideWhenUsed/>
    <w:qFormat/>
    <w:pPr>
      <w:pBdr/>
      <w:spacing w:afterAutospacing="1" w:beforeAutospacing="1"/>
      <w:ind/>
      <w:jc w:val="both"/>
    </w:pPr>
    <w:rPr>
      <w:rFonts w:ascii="Arial" w:hAnsi="Arial" w:cs="Arial"/>
    </w:rPr>
  </w:style>
  <w:style w:type="paragraph" w:styleId="1448" w:customStyle="1">
    <w:name w:val="xl85"/>
    <w:basedOn w:val="872"/>
    <w:unhideWhenUsed/>
    <w:qFormat/>
    <w:pPr>
      <w:pBdr>
        <w:bottom w:val="single" w:color="000000" w:sz="8" w:space="0"/>
      </w:pBdr>
      <w:spacing w:afterAutospacing="1" w:beforeAutospacing="1"/>
      <w:ind/>
      <w:jc w:val="both"/>
    </w:pPr>
    <w:rPr>
      <w:rFonts w:ascii="Arial" w:hAnsi="Arial" w:cs="Arial"/>
      <w:b/>
    </w:rPr>
  </w:style>
  <w:style w:type="paragraph" w:styleId="1449" w:customStyle="1">
    <w:name w:val="x_msonormal"/>
    <w:basedOn w:val="872"/>
    <w:uiPriority w:val="99"/>
    <w:unhideWhenUsed/>
    <w:qFormat/>
    <w:pPr>
      <w:pBdr/>
      <w:spacing w:afterAutospacing="1" w:beforeAutospacing="1"/>
      <w:ind/>
    </w:pPr>
    <w:rPr>
      <w:sz w:val="24"/>
      <w:szCs w:val="24"/>
    </w:rPr>
  </w:style>
  <w:style w:type="paragraph" w:styleId="1450" w:customStyle="1">
    <w:name w:val="citaçe7ãe3o 2"/>
    <w:basedOn w:val="1017"/>
    <w:uiPriority w:val="99"/>
    <w:unhideWhenUsed/>
    <w:pPr>
      <w:pBdr>
        <w:top w:val="single" w:color="000000" w:sz="4" w:space="1"/>
        <w:left w:val="single" w:color="000000" w:sz="4" w:space="4"/>
        <w:bottom w:val="single" w:color="000000" w:sz="4" w:space="1"/>
        <w:right w:val="single" w:color="000000" w:sz="4" w:space="4"/>
      </w:pBdr>
      <w:spacing w:before="120"/>
      <w:ind/>
      <w:jc w:val="both"/>
    </w:pPr>
    <w:rPr>
      <w:rFonts w:ascii="Arial" w:hAnsi="Arial" w:cs="Tahoma"/>
      <w:color w:val="000000"/>
      <w:lang w:eastAsia="en-US"/>
    </w:rPr>
  </w:style>
  <w:style w:type="paragraph" w:styleId="1451" w:customStyle="1">
    <w:name w:val="xl98"/>
    <w:basedOn w:val="872"/>
    <w:unhideWhenUsed/>
    <w:qFormat/>
    <w:pPr>
      <w:pBdr>
        <w:top w:val="single" w:color="000000" w:sz="8" w:space="0"/>
        <w:bottom w:val="single" w:color="000000" w:sz="8" w:space="0"/>
      </w:pBdr>
      <w:spacing w:afterAutospacing="1" w:beforeAutospacing="1"/>
      <w:ind/>
      <w:jc w:val="both"/>
    </w:pPr>
    <w:rPr>
      <w:rFonts w:ascii="Arial" w:hAnsi="Arial" w:cs="Arial"/>
      <w:b/>
      <w:sz w:val="19"/>
      <w:szCs w:val="19"/>
    </w:rPr>
  </w:style>
  <w:style w:type="paragraph" w:styleId="1452" w:customStyle="1">
    <w:name w:val="Nivel 4"/>
    <w:uiPriority w:val="99"/>
    <w:unhideWhenUsed/>
    <w:pPr>
      <w:widowControl w:val="false"/>
      <w:pBdr/>
      <w:spacing w:after="120" w:before="120" w:line="276" w:lineRule="auto"/>
      <w:ind w:left="567"/>
      <w:jc w:val="both"/>
    </w:pPr>
    <w:rPr>
      <w:rFonts w:ascii="Arial" w:hAnsi="Arial" w:eastAsia="MS Mincho" w:cs="Arial"/>
      <w:color w:val="000000"/>
      <w:sz w:val="24"/>
      <w:szCs w:val="24"/>
      <w:lang w:eastAsia="zh-CN" w:bidi="hi-IN"/>
    </w:rPr>
  </w:style>
  <w:style w:type="paragraph" w:styleId="1453" w:customStyle="1">
    <w:name w:val="Recuo de corpo de texto 31"/>
    <w:basedOn w:val="872"/>
    <w:uiPriority w:val="99"/>
    <w:unhideWhenUsed/>
    <w:qFormat/>
    <w:pPr>
      <w:pBdr/>
      <w:spacing/>
      <w:ind w:hanging="567" w:left="567"/>
      <w:jc w:val="both"/>
    </w:pPr>
    <w:rPr>
      <w:rFonts w:ascii="Arial" w:hAnsi="Arial"/>
      <w:sz w:val="24"/>
      <w:lang w:val="en-US"/>
    </w:rPr>
  </w:style>
  <w:style w:type="paragraph" w:styleId="1454" w:customStyle="1">
    <w:name w:val="Recuo de corpo de texto 21"/>
    <w:basedOn w:val="872"/>
    <w:unhideWhenUsed/>
    <w:qFormat/>
    <w:pPr>
      <w:pBdr/>
      <w:spacing/>
      <w:ind w:hanging="567" w:left="993"/>
      <w:jc w:val="both"/>
    </w:pPr>
    <w:rPr>
      <w:rFonts w:ascii="Arial" w:hAnsi="Arial"/>
      <w:sz w:val="24"/>
      <w:lang w:val="en-US"/>
    </w:rPr>
  </w:style>
  <w:style w:type="paragraph" w:styleId="1455" w:customStyle="1">
    <w:name w:val="Table Paragraph"/>
    <w:uiPriority w:val="99"/>
    <w:unhideWhenUsed/>
    <w:pPr>
      <w:widowControl w:val="false"/>
      <w:pBdr/>
      <w:spacing/>
      <w:ind/>
    </w:pPr>
    <w:rPr>
      <w:rFonts w:ascii="Liberation Serif" w:hAnsi="Liberation Serif" w:eastAsia="NSimSun" w:cs="Arial"/>
      <w:sz w:val="24"/>
      <w:szCs w:val="24"/>
      <w:lang w:val="pt-PT"/>
    </w:rPr>
  </w:style>
  <w:style w:type="paragraph" w:styleId="1456" w:customStyle="1">
    <w:name w:val="xl78"/>
    <w:basedOn w:val="872"/>
    <w:unhideWhenUsed/>
    <w:qFormat/>
    <w:pPr>
      <w:pBdr>
        <w:bottom w:val="single" w:color="000000" w:sz="8" w:space="0"/>
        <w:right w:val="single" w:color="000000" w:sz="8" w:space="0"/>
      </w:pBdr>
      <w:spacing w:afterAutospacing="1" w:beforeAutospacing="1"/>
      <w:ind/>
      <w:jc w:val="both"/>
    </w:pPr>
    <w:rPr>
      <w:rFonts w:ascii="Arial" w:hAnsi="Arial" w:cs="Arial"/>
      <w:sz w:val="19"/>
      <w:szCs w:val="19"/>
    </w:rPr>
  </w:style>
  <w:style w:type="paragraph" w:styleId="1457" w:customStyle="1">
    <w:name w:val="Nivel 2"/>
    <w:basedOn w:val="872"/>
    <w:uiPriority w:val="99"/>
    <w:unhideWhenUsed/>
    <w:pPr>
      <w:pBdr/>
      <w:spacing w:after="120" w:before="120" w:line="276" w:lineRule="auto"/>
      <w:ind/>
      <w:jc w:val="both"/>
    </w:pPr>
    <w:rPr>
      <w:rFonts w:ascii="Arial" w:hAnsi="Arial" w:eastAsia="MS Mincho" w:cs="Arial"/>
      <w:color w:val="000000"/>
    </w:rPr>
  </w:style>
  <w:style w:type="paragraph" w:styleId="1458" w:customStyle="1">
    <w:name w:val="xl94"/>
    <w:basedOn w:val="872"/>
    <w:unhideWhenUsed/>
    <w:qFormat/>
    <w:pPr>
      <w:pBdr>
        <w:top w:val="single" w:color="000000" w:sz="8" w:space="0"/>
        <w:bottom w:val="single" w:color="000000" w:sz="4" w:space="0"/>
        <w:right w:val="single" w:color="000000" w:sz="4" w:space="0"/>
      </w:pBdr>
      <w:spacing w:afterAutospacing="1" w:beforeAutospacing="1"/>
      <w:ind/>
      <w:jc w:val="center"/>
    </w:pPr>
    <w:rPr>
      <w:b/>
      <w:sz w:val="24"/>
      <w:szCs w:val="24"/>
    </w:rPr>
  </w:style>
  <w:style w:type="paragraph" w:styleId="1459" w:customStyle="1">
    <w:name w:val="Níedvel 2 -Red"/>
    <w:basedOn w:val="1457"/>
    <w:uiPriority w:val="99"/>
    <w:unhideWhenUsed/>
    <w:pPr>
      <w:pBdr/>
      <w:spacing/>
      <w:ind/>
    </w:pPr>
    <w:rPr>
      <w:i/>
      <w:color w:val="ff0000"/>
    </w:rPr>
  </w:style>
  <w:style w:type="paragraph" w:styleId="1460" w:customStyle="1">
    <w:name w:val="font8"/>
    <w:basedOn w:val="872"/>
    <w:unhideWhenUsed/>
    <w:qFormat/>
    <w:pPr>
      <w:pBdr/>
      <w:spacing w:afterAutospacing="1" w:beforeAutospacing="1"/>
      <w:ind/>
    </w:pPr>
    <w:rPr>
      <w:rFonts w:ascii="Arial" w:hAnsi="Arial" w:cs="Arial"/>
      <w:color w:val="000000"/>
      <w:sz w:val="19"/>
      <w:szCs w:val="19"/>
    </w:rPr>
  </w:style>
  <w:style w:type="paragraph" w:styleId="1461" w:customStyle="1">
    <w:name w:val="texto_justificado"/>
    <w:basedOn w:val="872"/>
    <w:uiPriority w:val="99"/>
    <w:unhideWhenUsed/>
    <w:pPr>
      <w:pBdr/>
      <w:spacing w:afterAutospacing="1" w:beforeAutospacing="1"/>
      <w:ind/>
    </w:pPr>
    <w:rPr>
      <w:sz w:val="24"/>
      <w:szCs w:val="24"/>
    </w:rPr>
  </w:style>
  <w:style w:type="paragraph" w:styleId="1462" w:customStyle="1">
    <w:name w:val="Conteúfado da tabela"/>
    <w:basedOn w:val="1391"/>
    <w:uiPriority w:val="99"/>
    <w:unhideWhenUsed/>
    <w:pPr>
      <w:pBdr/>
      <w:spacing/>
      <w:ind/>
    </w:pPr>
  </w:style>
  <w:style w:type="paragraph" w:styleId="1463" w:customStyle="1">
    <w:name w:val="Standard1"/>
    <w:uiPriority w:val="99"/>
    <w:unhideWhenUsed/>
    <w:pPr>
      <w:pBdr/>
      <w:spacing/>
      <w:ind/>
    </w:pPr>
    <w:rPr>
      <w:rFonts w:ascii="Liberation Serif" w:hAnsi="Liberation Serif" w:cs="Liberation Serif"/>
      <w:sz w:val="24"/>
      <w:szCs w:val="24"/>
      <w:lang w:bidi="hi-IN"/>
    </w:rPr>
  </w:style>
  <w:style w:type="paragraph" w:styleId="1464" w:customStyle="1">
    <w:name w:val="xl72"/>
    <w:basedOn w:val="872"/>
    <w:unhideWhenUsed/>
    <w:qFormat/>
    <w:pPr>
      <w:pBdr>
        <w:left w:val="single" w:color="000000" w:sz="8" w:space="0"/>
        <w:right w:val="single" w:color="000000" w:sz="8" w:space="0"/>
      </w:pBdr>
      <w:spacing w:afterAutospacing="1" w:beforeAutospacing="1"/>
      <w:ind/>
    </w:pPr>
    <w:rPr>
      <w:rFonts w:ascii="Arial" w:hAnsi="Arial" w:cs="Arial"/>
    </w:rPr>
  </w:style>
  <w:style w:type="paragraph" w:styleId="1465" w:customStyle="1">
    <w:name w:val="Sumáe1rio 11"/>
    <w:basedOn w:val="872"/>
    <w:next w:val="872"/>
    <w:uiPriority w:val="99"/>
    <w:unhideWhenUsed/>
    <w:pPr>
      <w:widowControl w:val="false"/>
      <w:pBdr/>
      <w:spacing w:after="100" w:line="100" w:lineRule="atLeast"/>
      <w:ind/>
    </w:pPr>
    <w:rPr>
      <w:rFonts w:cs="Arial"/>
      <w:sz w:val="24"/>
      <w:szCs w:val="24"/>
    </w:rPr>
  </w:style>
  <w:style w:type="paragraph" w:styleId="1466" w:customStyle="1">
    <w:name w:val="x_msoheader"/>
    <w:basedOn w:val="872"/>
    <w:uiPriority w:val="99"/>
    <w:unhideWhenUsed/>
    <w:qFormat/>
    <w:pPr>
      <w:pBdr/>
      <w:spacing w:afterAutospacing="1" w:beforeAutospacing="1"/>
      <w:ind/>
    </w:pPr>
    <w:rPr>
      <w:sz w:val="24"/>
      <w:szCs w:val="24"/>
    </w:rPr>
  </w:style>
  <w:style w:type="paragraph" w:styleId="1467" w:customStyle="1">
    <w:name w:val="x_msobodytext"/>
    <w:basedOn w:val="872"/>
    <w:uiPriority w:val="99"/>
    <w:unhideWhenUsed/>
    <w:qFormat/>
    <w:pPr>
      <w:pBdr/>
      <w:spacing w:afterAutospacing="1" w:beforeAutospacing="1"/>
      <w:ind/>
    </w:pPr>
    <w:rPr>
      <w:sz w:val="24"/>
      <w:szCs w:val="24"/>
    </w:rPr>
  </w:style>
  <w:style w:type="paragraph" w:styleId="1468" w:customStyle="1">
    <w:name w:val="x_msoheading9"/>
    <w:basedOn w:val="872"/>
    <w:uiPriority w:val="99"/>
    <w:unhideWhenUsed/>
    <w:qFormat/>
    <w:pPr>
      <w:pBdr/>
      <w:spacing w:afterAutospacing="1" w:beforeAutospacing="1"/>
      <w:ind/>
    </w:pPr>
    <w:rPr>
      <w:sz w:val="24"/>
      <w:szCs w:val="24"/>
    </w:rPr>
  </w:style>
  <w:style w:type="paragraph" w:styleId="1469" w:customStyle="1">
    <w:name w:val="xl69"/>
    <w:basedOn w:val="872"/>
    <w:unhideWhenUsed/>
    <w:qFormat/>
    <w:pPr>
      <w:pBdr>
        <w:bottom w:val="single" w:color="000000" w:sz="8" w:space="0"/>
        <w:right w:val="single" w:color="000000" w:sz="8" w:space="0"/>
      </w:pBdr>
      <w:spacing w:afterAutospacing="1" w:beforeAutospacing="1"/>
      <w:ind/>
      <w:jc w:val="center"/>
    </w:pPr>
    <w:rPr>
      <w:rFonts w:ascii="Arial" w:hAnsi="Arial" w:cs="Arial"/>
    </w:rPr>
  </w:style>
  <w:style w:type="paragraph" w:styleId="1470" w:customStyle="1">
    <w:name w:val="xl73"/>
    <w:basedOn w:val="872"/>
    <w:unhideWhenUsed/>
    <w:qFormat/>
    <w:pPr>
      <w:pBdr>
        <w:right w:val="single" w:color="000000" w:sz="8" w:space="0"/>
      </w:pBdr>
      <w:spacing w:afterAutospacing="1" w:beforeAutospacing="1"/>
      <w:ind/>
      <w:jc w:val="both"/>
    </w:pPr>
    <w:rPr>
      <w:rFonts w:ascii="Arial" w:hAnsi="Arial" w:cs="Arial"/>
      <w:sz w:val="19"/>
      <w:szCs w:val="19"/>
    </w:rPr>
  </w:style>
  <w:style w:type="paragraph" w:styleId="1471" w:customStyle="1">
    <w:name w:val="xl66"/>
    <w:basedOn w:val="872"/>
    <w:unhideWhenUsed/>
    <w:qFormat/>
    <w:pPr>
      <w:pBdr/>
      <w:spacing w:afterAutospacing="1" w:beforeAutospacing="1"/>
      <w:ind/>
      <w:jc w:val="both"/>
    </w:pPr>
    <w:rPr>
      <w:rFonts w:ascii="Arial" w:hAnsi="Arial" w:cs="Arial"/>
      <w:b/>
    </w:rPr>
  </w:style>
  <w:style w:type="paragraph" w:styleId="1472" w:customStyle="1">
    <w:name w:val="xl65"/>
    <w:basedOn w:val="872"/>
    <w:unhideWhenUsed/>
    <w:qFormat/>
    <w:pPr>
      <w:pBdr/>
      <w:spacing w:afterAutospacing="1" w:beforeAutospacing="1"/>
      <w:ind/>
    </w:pPr>
    <w:rPr>
      <w:rFonts w:ascii="Arial" w:hAnsi="Arial" w:cs="Arial"/>
      <w:b/>
    </w:rPr>
  </w:style>
  <w:style w:type="paragraph" w:styleId="1473" w:customStyle="1">
    <w:name w:val="xl84"/>
    <w:basedOn w:val="872"/>
    <w:unhideWhenUsed/>
    <w:qFormat/>
    <w:pPr>
      <w:pBdr/>
      <w:spacing w:afterAutospacing="1" w:beforeAutospacing="1"/>
      <w:ind/>
      <w:jc w:val="both"/>
    </w:pPr>
    <w:rPr>
      <w:rFonts w:ascii="Arial" w:hAnsi="Arial" w:cs="Arial"/>
      <w:b/>
    </w:rPr>
  </w:style>
  <w:style w:type="paragraph" w:styleId="1474" w:customStyle="1">
    <w:name w:val="xl101"/>
    <w:basedOn w:val="872"/>
    <w:unhideWhenUsed/>
    <w:qFormat/>
    <w:pPr>
      <w:pBdr>
        <w:top w:val="single" w:color="000000" w:sz="8" w:space="0"/>
        <w:left w:val="single" w:color="000000" w:sz="8" w:space="0"/>
        <w:bottom w:val="single" w:color="000000" w:sz="8" w:space="0"/>
      </w:pBdr>
      <w:spacing w:afterAutospacing="1" w:beforeAutospacing="1"/>
      <w:ind/>
      <w:jc w:val="center"/>
    </w:pPr>
    <w:rPr>
      <w:b/>
      <w:sz w:val="24"/>
      <w:szCs w:val="24"/>
    </w:rPr>
  </w:style>
  <w:style w:type="paragraph" w:styleId="1475" w:customStyle="1">
    <w:name w:val="xl86"/>
    <w:basedOn w:val="872"/>
    <w:unhideWhenUsed/>
    <w:qFormat/>
    <w:pPr>
      <w:pBdr>
        <w:top w:val="single" w:color="000000" w:sz="8" w:space="0"/>
        <w:left w:val="single" w:color="000000" w:sz="8" w:space="0"/>
        <w:bottom w:val="single" w:color="000000" w:sz="8" w:space="0"/>
      </w:pBdr>
      <w:spacing w:afterAutospacing="1" w:beforeAutospacing="1"/>
      <w:ind/>
      <w:jc w:val="both"/>
    </w:pPr>
    <w:rPr>
      <w:rFonts w:ascii="Arial" w:hAnsi="Arial" w:cs="Arial"/>
      <w:b/>
    </w:rPr>
  </w:style>
  <w:style w:type="paragraph" w:styleId="1476" w:customStyle="1">
    <w:name w:val="xl92"/>
    <w:basedOn w:val="872"/>
    <w:unhideWhenUsed/>
    <w:qFormat/>
    <w:pPr>
      <w:pBdr>
        <w:top w:val="single" w:color="000000" w:sz="8" w:space="0"/>
        <w:left w:val="single" w:color="000000" w:sz="4" w:space="0"/>
        <w:bottom w:val="single" w:color="000000" w:sz="4" w:space="0"/>
      </w:pBdr>
      <w:spacing w:afterAutospacing="1" w:beforeAutospacing="1"/>
      <w:ind/>
      <w:jc w:val="center"/>
    </w:pPr>
    <w:rPr>
      <w:b/>
      <w:sz w:val="24"/>
      <w:szCs w:val="24"/>
    </w:rPr>
  </w:style>
  <w:style w:type="paragraph" w:styleId="1477" w:customStyle="1">
    <w:name w:val="xl106"/>
    <w:basedOn w:val="872"/>
    <w:unhideWhenUsed/>
    <w:qFormat/>
    <w:pPr>
      <w:pBdr>
        <w:top w:val="single" w:color="000000" w:sz="8" w:space="0"/>
        <w:bottom w:val="single" w:color="000000" w:sz="8" w:space="0"/>
        <w:right w:val="single" w:color="000000" w:sz="4" w:space="0"/>
      </w:pBdr>
      <w:spacing w:afterAutospacing="1" w:beforeAutospacing="1"/>
      <w:ind/>
      <w:jc w:val="center"/>
    </w:pPr>
    <w:rPr>
      <w:b/>
      <w:sz w:val="24"/>
      <w:szCs w:val="24"/>
    </w:rPr>
  </w:style>
  <w:style w:type="paragraph" w:styleId="1478" w:customStyle="1">
    <w:name w:val="Cabeçe7alho do Sumáe1rio1"/>
    <w:basedOn w:val="873"/>
    <w:next w:val="872"/>
    <w:uiPriority w:val="99"/>
    <w:unhideWhenUsed/>
    <w:pPr>
      <w:keepLines w:val="true"/>
      <w:pBdr/>
      <w:spacing w:after="40" w:before="360"/>
      <w:ind/>
    </w:pPr>
    <w:rPr>
      <w:rFonts w:ascii="Calibri Light" w:hAnsi="Calibri Light"/>
      <w:sz w:val="40"/>
      <w:szCs w:val="40"/>
      <w:lang w:eastAsia="en-US"/>
    </w:rPr>
  </w:style>
  <w:style w:type="character" w:styleId="1479" w:customStyle="1">
    <w:name w:val="Standard Char"/>
    <w:link w:val="1391"/>
    <w:unhideWhenUsed/>
    <w:qFormat/>
    <w:pPr>
      <w:pBdr/>
      <w:spacing/>
      <w:ind/>
    </w:pPr>
    <w:rPr>
      <w:rFonts w:ascii="Liberation Serif" w:hAnsi="Liberation Serif" w:eastAsia="NSimSun" w:cs="Arial"/>
      <w:sz w:val="24"/>
      <w:szCs w:val="24"/>
      <w:lang w:eastAsia="zh-CN" w:bidi="hi-IN"/>
    </w:rPr>
  </w:style>
  <w:style w:type="paragraph" w:styleId="1480" w:customStyle="1">
    <w:name w:val="Conteúdo do quadro"/>
    <w:basedOn w:val="872"/>
    <w:qFormat/>
    <w:pPr>
      <w:pBdr/>
      <w:spacing/>
      <w:ind/>
    </w:pPr>
    <w:rPr>
      <w:rFonts w:eastAsia="Times New Roman"/>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bllcompras.org.br" TargetMode="External"/><Relationship Id="rId13" Type="http://schemas.openxmlformats.org/officeDocument/2006/relationships/hyperlink" Target="mailto:pmrroo@hotmail.com" TargetMode="External"/><Relationship Id="rId14" Type="http://schemas.openxmlformats.org/officeDocument/2006/relationships/hyperlink" Target="http://www.bllcompras.org.br"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bllcompras.org.br"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mailto:pmrroo@hotmail.com" TargetMode="External"/><Relationship Id="rId22" Type="http://schemas.openxmlformats.org/officeDocument/2006/relationships/image" Target="media/image2.png"/><Relationship Id="rId23" Type="http://schemas.openxmlformats.org/officeDocument/2006/relationships/image" Target="media/image3.png"/><Relationship Id="rId24" Type="http://schemas.openxmlformats.org/officeDocument/2006/relationships/image" Target="media/image4.png"/><Relationship Id="rId25" Type="http://schemas.openxmlformats.org/officeDocument/2006/relationships/hyperlink" Target="http://www.tst.jus.br/" TargetMode="External"/><Relationship Id="rId26"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32" Type="http://schemas.openxmlformats.org/officeDocument/2006/relationships/hyperlink" Target="http://www.cnj.jus.br/improbidade_adm/consultar_requerido.php" TargetMode="External"/><Relationship Id="rId33" Type="http://schemas.openxmlformats.org/officeDocument/2006/relationships/hyperlink" Target="http://www.portaldatransparencia.gov.br/ceis" TargetMode="External"/><Relationship Id="rId34" Type="http://schemas.openxmlformats.org/officeDocument/2006/relationships/hyperlink" Target="https://certidoes-apf.apps.tcu.gov.br" TargetMode="External"/><Relationship Id="rId35" Type="http://schemas.openxmlformats.org/officeDocument/2006/relationships/hyperlink" Target="https://jurisdicionado.tce.mt.gov.br/conteudo/index/sid/477" TargetMode="External"/><Relationship Id="rId36"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bllcompras.co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mailto:bllcompras.com" TargetMode="External"/><Relationship Id="rId44" Type="http://schemas.openxmlformats.org/officeDocument/2006/relationships/hyperlink" Target="http://bllcompras.com" TargetMode="External"/><Relationship Id="rId45" Type="http://schemas.openxmlformats.org/officeDocument/2006/relationships/hyperlink" Target="http://www.rondonopolis.mt.gov.br" TargetMode="External"/><Relationship Id="rId46" Type="http://schemas.openxmlformats.org/officeDocument/2006/relationships/hyperlink" Target="mailto:pmrroo@hotmail.com" TargetMode="External"/><Relationship Id="rId47" Type="http://schemas.openxmlformats.org/officeDocument/2006/relationships/hyperlink" Target="http://www.sefaz.mt.gov.br/nfe" TargetMode="External"/><Relationship Id="rId48" Type="http://schemas.openxmlformats.org/officeDocument/2006/relationships/hyperlink" Target="https://www.gov.br/empresas-e-negocios/pt-br/empreendedor" TargetMode="External"/><Relationship Id="rId49"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1" Type="http://schemas.openxmlformats.org/officeDocument/2006/relationships/hyperlink" Target="https://radardeprecos.tce.mt.gov.br/extensions/%20radarcompraspublicas/panel.html" TargetMode="External"/><Relationship Id="rId52"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constituicao/constituicaocompilado.htm" TargetMode="External"/><Relationship Id="rId54" Type="http://schemas.openxmlformats.org/officeDocument/2006/relationships/hyperlink" Target="https://www.planalto.gov.br/ccivil_03/leis/lcp/lcp123.htm" TargetMode="External"/><Relationship Id="rId5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58" Type="http://schemas.openxmlformats.org/officeDocument/2006/relationships/hyperlink" Target="mailto:rfpmr2014@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ONLYOFFICE/9.2.1.43</Application>
  <DocSecurity>0</DocSecurity>
  <ScaleCrop>0</ScaleCrop>
  <HeadingPairs>
    <vt:vector size="0" baseType="variant"/>
  </HeadingPairs>
  <TitlesOfParts>
    <vt:vector size="0" baseType="lpstr"/>
  </TitlesOfParts>
  <Company>Hewlett-Packard Company</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jhonatan.gomes</dc:creator>
  <cp:revision>23</cp:revision>
  <dcterms:created xsi:type="dcterms:W3CDTF">2026-03-04T12:30:00Z</dcterms:created>
  <dcterms:modified xsi:type="dcterms:W3CDTF">2026-04-01T18:39:53Z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1046-12.2.0.23131</vt:lpwstr>
  </property>
  <property fmtid="{D5CDD505-2E9C-101B-9397-08002B2CF9AE}" pid="3" name="ICV">
    <vt:lpwstr>251A10A5C6004B36A0B2467906D527F7_12</vt:lpwstr>
  </property>
</Properties>
</file>